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napToGrid w:val="0"/>
        <w:jc w:val="left"/>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bookmarkStart w:id="0" w:name="_GoBack"/>
      <w:bookmarkEnd w:id="0"/>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40"/>
          <w:szCs w:val="40"/>
          <w:u w:val="none"/>
          <w:lang w:eastAsia="zh-CN"/>
        </w:rPr>
      </w:pPr>
    </w:p>
    <w:p>
      <w:pPr>
        <w:keepNext w:val="0"/>
        <w:keepLines w:val="0"/>
        <w:widowControl/>
        <w:suppressLineNumbers w:val="0"/>
        <w:snapToGrid w:val="0"/>
        <w:jc w:val="center"/>
        <w:textAlignment w:val="center"/>
        <w:rPr>
          <w:rFonts w:hint="eastAsia" w:asciiTheme="majorEastAsia" w:hAnsiTheme="majorEastAsia" w:eastAsiaTheme="majorEastAsia" w:cstheme="majorEastAsia"/>
          <w:b/>
          <w:bCs/>
          <w:i w:val="0"/>
          <w:iCs w:val="0"/>
          <w:color w:val="000000"/>
          <w:sz w:val="44"/>
          <w:szCs w:val="44"/>
          <w:u w:val="none"/>
          <w:lang w:eastAsia="zh-CN"/>
        </w:rPr>
      </w:pPr>
      <w:r>
        <w:rPr>
          <w:rFonts w:hint="eastAsia" w:asciiTheme="majorEastAsia" w:hAnsiTheme="majorEastAsia" w:eastAsiaTheme="majorEastAsia" w:cstheme="majorEastAsia"/>
          <w:b/>
          <w:bCs/>
          <w:i w:val="0"/>
          <w:iCs w:val="0"/>
          <w:color w:val="000000"/>
          <w:sz w:val="44"/>
          <w:szCs w:val="44"/>
          <w:u w:val="none"/>
          <w:lang w:eastAsia="zh-CN"/>
        </w:rPr>
        <w:t>海南农村商业银行股份有限公司</w:t>
      </w:r>
    </w:p>
    <w:p>
      <w:pPr>
        <w:keepNext w:val="0"/>
        <w:keepLines w:val="0"/>
        <w:widowControl/>
        <w:suppressLineNumbers w:val="0"/>
        <w:snapToGrid w:val="0"/>
        <w:jc w:val="center"/>
        <w:textAlignment w:val="center"/>
        <w:rPr>
          <w:rFonts w:hint="eastAsia" w:asciiTheme="majorEastAsia" w:hAnsiTheme="majorEastAsia" w:eastAsiaTheme="majorEastAsia" w:cstheme="majorEastAsia"/>
          <w:b/>
          <w:bCs/>
          <w:i w:val="0"/>
          <w:iCs w:val="0"/>
          <w:color w:val="000000"/>
          <w:sz w:val="44"/>
          <w:szCs w:val="44"/>
          <w:u w:val="none"/>
          <w:lang w:eastAsia="zh-CN"/>
        </w:rPr>
      </w:pPr>
    </w:p>
    <w:p>
      <w:pPr>
        <w:keepNext w:val="0"/>
        <w:keepLines w:val="0"/>
        <w:widowControl/>
        <w:suppressLineNumbers w:val="0"/>
        <w:snapToGrid w:val="0"/>
        <w:jc w:val="center"/>
        <w:textAlignment w:val="center"/>
        <w:rPr>
          <w:rFonts w:hint="default" w:ascii="仿宋" w:hAnsi="仿宋" w:eastAsia="仿宋" w:cs="仿宋"/>
          <w:b/>
          <w:bCs/>
          <w:i w:val="0"/>
          <w:iCs w:val="0"/>
          <w:color w:val="000000"/>
          <w:sz w:val="44"/>
          <w:szCs w:val="44"/>
          <w:u w:val="none"/>
          <w:lang w:val="en-US" w:eastAsia="zh-CN"/>
        </w:rPr>
      </w:pPr>
      <w:r>
        <w:rPr>
          <w:rFonts w:hint="eastAsia" w:asciiTheme="majorEastAsia" w:hAnsiTheme="majorEastAsia" w:eastAsiaTheme="majorEastAsia" w:cstheme="majorEastAsia"/>
          <w:b/>
          <w:bCs/>
          <w:i w:val="0"/>
          <w:iCs w:val="0"/>
          <w:color w:val="000000"/>
          <w:sz w:val="44"/>
          <w:szCs w:val="44"/>
          <w:u w:val="none"/>
          <w:lang w:val="en-US" w:eastAsia="zh-CN"/>
        </w:rPr>
        <w:t>2025年度第三支柱信息披露报告</w:t>
      </w: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both"/>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both"/>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numPr>
          <w:numId w:val="0"/>
        </w:numPr>
        <w:suppressLineNumbers w:val="0"/>
        <w:snapToGrid w:val="0"/>
        <w:ind w:firstLine="640" w:firstLineChars="200"/>
        <w:jc w:val="left"/>
        <w:textAlignment w:val="center"/>
        <w:rPr>
          <w:rFonts w:hint="eastAsia" w:ascii="黑体" w:hAnsi="黑体" w:eastAsia="黑体" w:cs="黑体"/>
          <w:b w:val="0"/>
          <w:bCs w:val="0"/>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一、披露依据</w:t>
      </w:r>
    </w:p>
    <w:p>
      <w:pPr>
        <w:keepNext w:val="0"/>
        <w:keepLines w:val="0"/>
        <w:widowControl/>
        <w:numPr>
          <w:ilvl w:val="0"/>
          <w:numId w:val="0"/>
        </w:numPr>
        <w:suppressLineNumbers w:val="0"/>
        <w:snapToGrid w:val="0"/>
        <w:ind w:firstLine="640" w:firstLineChars="200"/>
        <w:jc w:val="left"/>
        <w:textAlignment w:val="center"/>
        <w:rPr>
          <w:rFonts w:hint="eastAsia" w:ascii="仿宋" w:hAnsi="仿宋" w:eastAsia="仿宋" w:cs="仿宋"/>
          <w:b/>
          <w:bCs/>
          <w:i w:val="0"/>
          <w:iCs w:val="0"/>
          <w:color w:val="000000"/>
          <w:sz w:val="32"/>
          <w:szCs w:val="32"/>
          <w:u w:val="none"/>
          <w:lang w:val="en-US" w:eastAsia="zh-CN"/>
        </w:rPr>
      </w:pPr>
      <w:r>
        <w:rPr>
          <w:rFonts w:hint="eastAsia" w:ascii="仿宋" w:hAnsi="仿宋" w:eastAsia="仿宋" w:cs="仿宋"/>
          <w:sz w:val="32"/>
          <w:szCs w:val="32"/>
        </w:rPr>
        <w:t>本报告根据国家金融监督管理总局令2023年第4号《商业银行资本管理办法》及其相关规定进行编制并披露。</w:t>
      </w:r>
    </w:p>
    <w:p>
      <w:pPr>
        <w:keepNext w:val="0"/>
        <w:keepLines w:val="0"/>
        <w:widowControl/>
        <w:numPr>
          <w:numId w:val="0"/>
        </w:numPr>
        <w:suppressLineNumbers w:val="0"/>
        <w:snapToGrid w:val="0"/>
        <w:ind w:leftChars="0" w:firstLine="640" w:firstLineChars="200"/>
        <w:jc w:val="left"/>
        <w:textAlignment w:val="center"/>
        <w:rPr>
          <w:rFonts w:hint="eastAsia" w:ascii="黑体" w:hAnsi="黑体" w:eastAsia="黑体" w:cs="黑体"/>
          <w:b w:val="0"/>
          <w:bCs w:val="0"/>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二、关键审慎监管指标</w:t>
      </w:r>
    </w:p>
    <w:p>
      <w:pPr>
        <w:keepNext w:val="0"/>
        <w:keepLines w:val="0"/>
        <w:widowControl/>
        <w:numPr>
          <w:ilvl w:val="0"/>
          <w:numId w:val="0"/>
        </w:numPr>
        <w:suppressLineNumbers w:val="0"/>
        <w:snapToGrid w:val="0"/>
        <w:ind w:leftChars="0" w:firstLine="640" w:firstLineChars="200"/>
        <w:jc w:val="left"/>
        <w:textAlignment w:val="center"/>
        <w:rPr>
          <w:rFonts w:hint="eastAsia" w:ascii="仿宋" w:hAnsi="仿宋" w:eastAsia="仿宋" w:cs="仿宋"/>
          <w:b w:val="0"/>
          <w:bCs w:val="0"/>
          <w:i w:val="0"/>
          <w:iCs w:val="0"/>
          <w:color w:val="000000"/>
          <w:sz w:val="32"/>
          <w:szCs w:val="32"/>
          <w:u w:val="none"/>
          <w:lang w:val="en-US" w:eastAsia="zh-CN"/>
        </w:rPr>
      </w:pPr>
      <w:r>
        <w:rPr>
          <w:rFonts w:hint="eastAsia" w:ascii="仿宋" w:hAnsi="仿宋" w:eastAsia="仿宋" w:cs="仿宋"/>
          <w:b w:val="0"/>
          <w:bCs w:val="0"/>
          <w:i w:val="0"/>
          <w:iCs w:val="0"/>
          <w:color w:val="000000"/>
          <w:sz w:val="32"/>
          <w:szCs w:val="32"/>
          <w:u w:val="none"/>
          <w:lang w:val="en-US" w:eastAsia="zh-CN"/>
        </w:rPr>
        <w:t>关键审慎监管指标包括资本充足率、杠杆率、流动性风险相关指标，列示如下：</w:t>
      </w:r>
    </w:p>
    <w:p>
      <w:pPr>
        <w:keepNext w:val="0"/>
        <w:keepLines w:val="0"/>
        <w:widowControl/>
        <w:numPr>
          <w:ilvl w:val="0"/>
          <w:numId w:val="0"/>
        </w:numPr>
        <w:suppressLineNumbers w:val="0"/>
        <w:snapToGrid w:val="0"/>
        <w:ind w:leftChars="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表1：关键审慎监管指标</w:t>
      </w:r>
    </w:p>
    <w:p>
      <w:pPr>
        <w:keepNext w:val="0"/>
        <w:keepLines w:val="0"/>
        <w:widowControl/>
        <w:numPr>
          <w:ilvl w:val="0"/>
          <w:numId w:val="0"/>
        </w:numPr>
        <w:suppressLineNumbers w:val="0"/>
        <w:snapToGrid w:val="0"/>
        <w:ind w:leftChars="0"/>
        <w:jc w:val="righ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 xml:space="preserve">                                     </w:t>
      </w:r>
      <w:r>
        <w:rPr>
          <w:rFonts w:hint="eastAsia" w:ascii="仿宋" w:hAnsi="仿宋" w:eastAsia="仿宋" w:cs="仿宋"/>
          <w:b w:val="0"/>
          <w:bCs w:val="0"/>
          <w:i w:val="0"/>
          <w:iCs w:val="0"/>
          <w:color w:val="000000"/>
          <w:sz w:val="21"/>
          <w:szCs w:val="21"/>
          <w:u w:val="none"/>
          <w:lang w:val="en-US" w:eastAsia="zh-CN"/>
        </w:rPr>
        <w:t>单位：人民币万元、%</w:t>
      </w:r>
    </w:p>
    <w:tbl>
      <w:tblPr>
        <w:tblStyle w:val="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1636"/>
        <w:gridCol w:w="1377"/>
        <w:gridCol w:w="1371"/>
        <w:gridCol w:w="1371"/>
        <w:gridCol w:w="1371"/>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07" w:type="pct"/>
            <w:gridSpan w:val="2"/>
            <w:tcBorders>
              <w:top w:val="single" w:color="000000" w:sz="12"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lang w:eastAsia="zh-CN"/>
              </w:rPr>
            </w:pPr>
            <w:r>
              <w:rPr>
                <w:rFonts w:hint="eastAsia" w:ascii="仿宋" w:hAnsi="仿宋" w:eastAsia="仿宋" w:cs="仿宋"/>
                <w:b/>
                <w:bCs/>
                <w:i w:val="0"/>
                <w:iCs w:val="0"/>
                <w:color w:val="000000"/>
                <w:sz w:val="20"/>
                <w:szCs w:val="20"/>
                <w:u w:val="none"/>
                <w:lang w:eastAsia="zh-CN"/>
              </w:rPr>
              <w:t>项目</w:t>
            </w:r>
          </w:p>
        </w:tc>
        <w:tc>
          <w:tcPr>
            <w:tcW w:w="760" w:type="pct"/>
            <w:tcBorders>
              <w:top w:val="single" w:color="000000" w:sz="12"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2025年12月31日</w:t>
            </w:r>
          </w:p>
        </w:tc>
        <w:tc>
          <w:tcPr>
            <w:tcW w:w="757" w:type="pct"/>
            <w:tcBorders>
              <w:top w:val="single" w:color="000000" w:sz="12"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2025年9月30日</w:t>
            </w:r>
          </w:p>
        </w:tc>
        <w:tc>
          <w:tcPr>
            <w:tcW w:w="757" w:type="pct"/>
            <w:tcBorders>
              <w:top w:val="single" w:color="000000" w:sz="12"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2025年6月30日</w:t>
            </w:r>
          </w:p>
        </w:tc>
        <w:tc>
          <w:tcPr>
            <w:tcW w:w="757" w:type="pct"/>
            <w:tcBorders>
              <w:top w:val="single" w:color="000000" w:sz="12"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2025年3月31日</w:t>
            </w:r>
          </w:p>
        </w:tc>
        <w:tc>
          <w:tcPr>
            <w:tcW w:w="761" w:type="pct"/>
            <w:tcBorders>
              <w:top w:val="single" w:color="000000" w:sz="12"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2024年12月31日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可用资本（数额）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02"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核心一级资本净额</w:t>
            </w:r>
          </w:p>
        </w:tc>
        <w:tc>
          <w:tcPr>
            <w:tcW w:w="760"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2,858,006.32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2,840,513.77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2,910,391.64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2,772,109.31 </w:t>
            </w:r>
          </w:p>
        </w:tc>
        <w:tc>
          <w:tcPr>
            <w:tcW w:w="761"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2,785,164.28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一级资本净额</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2,858,006.32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2,840,513.77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2,910,391.64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2,772,109.31 </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2,785,164.28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资本净额</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3,116,390.71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3,102,398.74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3,164,213.05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3,019,458.12 </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3,029,173.98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风险加权资产（数额）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2"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风险加权资产</w:t>
            </w:r>
          </w:p>
        </w:tc>
        <w:tc>
          <w:tcPr>
            <w:tcW w:w="760"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22,435,687.40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22,683,961.03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22,030,577.90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21,505,925.21 </w:t>
            </w:r>
          </w:p>
        </w:tc>
        <w:tc>
          <w:tcPr>
            <w:tcW w:w="761"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21,235,343.83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资本充足率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02"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核心一级资本充足率（%）</w:t>
            </w:r>
          </w:p>
        </w:tc>
        <w:tc>
          <w:tcPr>
            <w:tcW w:w="760"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12.74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12.52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13.21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12.89 </w:t>
            </w:r>
          </w:p>
        </w:tc>
        <w:tc>
          <w:tcPr>
            <w:tcW w:w="761"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一级资本充足率（%）</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12.74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12.52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13.21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12.89 </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资本充足率（%）</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13.89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13.68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14.36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14.04 </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02"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储备资本要求（%）</w:t>
            </w:r>
          </w:p>
        </w:tc>
        <w:tc>
          <w:tcPr>
            <w:tcW w:w="760"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2.50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2.50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2.50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2.50 </w:t>
            </w:r>
          </w:p>
        </w:tc>
        <w:tc>
          <w:tcPr>
            <w:tcW w:w="761"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逆周期资本要求（%）</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0.00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0.00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0.00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0.00 </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全球系统重要性银行或国内系统重要性银行附加资本要求（%）</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不适用</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不适用</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不适用</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不适用</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其他各级资本要求（%）（8+9+10）</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2.50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2.50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2.50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2.50 </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满足最低资本要求后的可用核心一级资本净额占风险加权资产的比例（%）</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5.89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5.68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6.36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6.04 </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杠杆率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02"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调整后表内外资产余额</w:t>
            </w:r>
          </w:p>
        </w:tc>
        <w:tc>
          <w:tcPr>
            <w:tcW w:w="760"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41,433,092.86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40,817,974.11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39,194,134.05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38,695,339.85 </w:t>
            </w:r>
          </w:p>
        </w:tc>
        <w:tc>
          <w:tcPr>
            <w:tcW w:w="761"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38,474,360.82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杠杆率（%）</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6.89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6.87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7.27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7.04 </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14a</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杠杆率a（%）</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6.89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6.87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7.27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7.04 </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流动性覆盖率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02"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合格优质流动性资产</w:t>
            </w:r>
          </w:p>
        </w:tc>
        <w:tc>
          <w:tcPr>
            <w:tcW w:w="760"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8,871,690.75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8,229,156.41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9,289,778.52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10,224,656.34 </w:t>
            </w:r>
          </w:p>
        </w:tc>
        <w:tc>
          <w:tcPr>
            <w:tcW w:w="761"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10,212,292.48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现金净流出量</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4,546,346.57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3,880,325.53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3,439,860.41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3,015,628.22 </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4,040,959.75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流动性覆盖率（%）</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195.14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212.07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270.06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339.06 </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252.72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净稳定资金比例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902"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可用稳定资金合计</w:t>
            </w:r>
          </w:p>
        </w:tc>
        <w:tc>
          <w:tcPr>
            <w:tcW w:w="760"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33,093,410.79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32,834,120.48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32,750,594.99 </w:t>
            </w:r>
          </w:p>
        </w:tc>
        <w:tc>
          <w:tcPr>
            <w:tcW w:w="757" w:type="pc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32,335,681.12 </w:t>
            </w:r>
          </w:p>
        </w:tc>
        <w:tc>
          <w:tcPr>
            <w:tcW w:w="761" w:type="pct"/>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31,466,087.31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所需稳定资金合计</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19,480,793.76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19,803,339.66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19,167,187.88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20,233,430.57 </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 19,916,780.45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902"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净稳定资金比例（%）</w:t>
            </w:r>
          </w:p>
        </w:tc>
        <w:tc>
          <w:tcPr>
            <w:tcW w:w="760"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169.88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165.80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170.87 </w:t>
            </w:r>
          </w:p>
        </w:tc>
        <w:tc>
          <w:tcPr>
            <w:tcW w:w="757" w:type="pct"/>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159.81 </w:t>
            </w:r>
          </w:p>
        </w:tc>
        <w:tc>
          <w:tcPr>
            <w:tcW w:w="761" w:type="pct"/>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157.99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流动性比例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4" w:type="pct"/>
            <w:tcBorders>
              <w:top w:val="single" w:color="auto" w:sz="4" w:space="0"/>
              <w:left w:val="single" w:color="000000" w:sz="12"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902" w:type="pct"/>
            <w:tcBorders>
              <w:top w:val="single" w:color="000000" w:sz="4" w:space="0"/>
              <w:left w:val="single" w:color="auto" w:sz="4"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流动性比例（%）</w:t>
            </w:r>
          </w:p>
        </w:tc>
        <w:tc>
          <w:tcPr>
            <w:tcW w:w="760" w:type="pct"/>
            <w:tcBorders>
              <w:top w:val="single" w:color="000000" w:sz="4" w:space="0"/>
              <w:left w:val="single" w:color="auto" w:sz="4"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67.25 </w:t>
            </w:r>
          </w:p>
        </w:tc>
        <w:tc>
          <w:tcPr>
            <w:tcW w:w="757" w:type="pct"/>
            <w:tcBorders>
              <w:top w:val="single" w:color="000000" w:sz="4" w:space="0"/>
              <w:left w:val="single" w:color="auto" w:sz="4"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64.70 </w:t>
            </w:r>
          </w:p>
        </w:tc>
        <w:tc>
          <w:tcPr>
            <w:tcW w:w="757" w:type="pct"/>
            <w:tcBorders>
              <w:top w:val="single" w:color="000000" w:sz="4" w:space="0"/>
              <w:left w:val="single" w:color="auto" w:sz="4"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71.73 </w:t>
            </w:r>
          </w:p>
        </w:tc>
        <w:tc>
          <w:tcPr>
            <w:tcW w:w="757" w:type="pct"/>
            <w:tcBorders>
              <w:top w:val="single" w:color="000000" w:sz="4" w:space="0"/>
              <w:left w:val="single" w:color="auto" w:sz="4"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78.80 </w:t>
            </w:r>
          </w:p>
        </w:tc>
        <w:tc>
          <w:tcPr>
            <w:tcW w:w="761" w:type="pct"/>
            <w:tcBorders>
              <w:top w:val="single" w:color="000000" w:sz="4" w:space="0"/>
              <w:left w:val="single" w:color="auto" w:sz="4" w:space="0"/>
              <w:bottom w:val="single" w:color="000000" w:sz="12" w:space="0"/>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 xml:space="preserve">71.12 </w:t>
            </w:r>
          </w:p>
        </w:tc>
      </w:tr>
    </w:tbl>
    <w:p>
      <w:pPr>
        <w:keepNext w:val="0"/>
        <w:keepLines w:val="0"/>
        <w:widowControl/>
        <w:numPr>
          <w:numId w:val="0"/>
        </w:numPr>
        <w:suppressLineNumbers w:val="0"/>
        <w:snapToGrid w:val="0"/>
        <w:jc w:val="left"/>
        <w:textAlignment w:val="center"/>
        <w:rPr>
          <w:rFonts w:hint="eastAsia" w:ascii="黑体" w:hAnsi="黑体" w:eastAsia="黑体" w:cs="黑体"/>
          <w:b w:val="0"/>
          <w:bCs w:val="0"/>
          <w:i w:val="0"/>
          <w:iCs w:val="0"/>
          <w:color w:val="000000"/>
          <w:sz w:val="32"/>
          <w:szCs w:val="32"/>
          <w:u w:val="none"/>
          <w:lang w:val="en-US" w:eastAsia="zh-CN"/>
        </w:rPr>
      </w:pPr>
    </w:p>
    <w:p>
      <w:pPr>
        <w:keepNext w:val="0"/>
        <w:keepLines w:val="0"/>
        <w:widowControl/>
        <w:numPr>
          <w:numId w:val="0"/>
        </w:numPr>
        <w:suppressLineNumbers w:val="0"/>
        <w:snapToGrid w:val="0"/>
        <w:ind w:firstLine="640" w:firstLineChars="200"/>
        <w:jc w:val="left"/>
        <w:textAlignment w:val="center"/>
        <w:rPr>
          <w:rFonts w:hint="eastAsia" w:ascii="黑体" w:hAnsi="黑体" w:eastAsia="黑体" w:cs="黑体"/>
          <w:b w:val="0"/>
          <w:bCs w:val="0"/>
          <w:i w:val="0"/>
          <w:iCs w:val="0"/>
          <w:color w:val="000000"/>
          <w:sz w:val="32"/>
          <w:szCs w:val="32"/>
          <w:u w:val="none"/>
          <w:lang w:val="en-US" w:eastAsia="zh-CN"/>
        </w:rPr>
      </w:pPr>
      <w:r>
        <w:rPr>
          <w:rFonts w:hint="eastAsia" w:ascii="黑体" w:hAnsi="黑体" w:eastAsia="黑体" w:cs="黑体"/>
          <w:b w:val="0"/>
          <w:bCs w:val="0"/>
          <w:i w:val="0"/>
          <w:iCs w:val="0"/>
          <w:color w:val="000000"/>
          <w:sz w:val="32"/>
          <w:szCs w:val="32"/>
          <w:u w:val="none"/>
          <w:lang w:val="en-US" w:eastAsia="zh-CN"/>
        </w:rPr>
        <w:t>三、资本构成</w:t>
      </w:r>
    </w:p>
    <w:p>
      <w:pPr>
        <w:keepNext w:val="0"/>
        <w:keepLines w:val="0"/>
        <w:widowControl/>
        <w:numPr>
          <w:ilvl w:val="0"/>
          <w:numId w:val="0"/>
        </w:numPr>
        <w:suppressLineNumbers w:val="0"/>
        <w:snapToGrid w:val="0"/>
        <w:ind w:firstLine="640" w:firstLineChars="200"/>
        <w:jc w:val="left"/>
        <w:textAlignment w:val="center"/>
        <w:rPr>
          <w:rFonts w:hint="eastAsia" w:ascii="仿宋" w:hAnsi="仿宋" w:eastAsia="仿宋" w:cs="仿宋"/>
          <w:b w:val="0"/>
          <w:bCs w:val="0"/>
          <w:i w:val="0"/>
          <w:iCs w:val="0"/>
          <w:color w:val="000000"/>
          <w:sz w:val="32"/>
          <w:szCs w:val="32"/>
          <w:u w:val="none"/>
          <w:lang w:val="en-US" w:eastAsia="zh-CN"/>
        </w:rPr>
      </w:pPr>
      <w:r>
        <w:rPr>
          <w:rFonts w:hint="eastAsia" w:ascii="仿宋" w:hAnsi="仿宋" w:eastAsia="仿宋" w:cs="仿宋"/>
          <w:b w:val="0"/>
          <w:bCs w:val="0"/>
          <w:i w:val="0"/>
          <w:iCs w:val="0"/>
          <w:color w:val="000000"/>
          <w:sz w:val="32"/>
          <w:szCs w:val="32"/>
          <w:u w:val="none"/>
          <w:lang w:val="en-US" w:eastAsia="zh-CN"/>
        </w:rPr>
        <w:t>下表列示本行资本构成明细、最低监管资本要求等信息。</w:t>
      </w:r>
    </w:p>
    <w:p>
      <w:pPr>
        <w:keepNext w:val="0"/>
        <w:keepLines w:val="0"/>
        <w:widowControl/>
        <w:numPr>
          <w:ilvl w:val="0"/>
          <w:numId w:val="0"/>
        </w:numPr>
        <w:suppressLineNumbers w:val="0"/>
        <w:snapToGrid w:val="0"/>
        <w:ind w:leftChars="0" w:firstLine="481"/>
        <w:jc w:val="left"/>
        <w:textAlignment w:val="center"/>
        <w:rPr>
          <w:rFonts w:hint="eastAsia" w:ascii="仿宋" w:hAnsi="仿宋" w:eastAsia="仿宋" w:cs="仿宋"/>
          <w:b w:val="0"/>
          <w:bCs w:val="0"/>
          <w:i w:val="0"/>
          <w:iCs w:val="0"/>
          <w:color w:val="000000"/>
          <w:sz w:val="24"/>
          <w:szCs w:val="24"/>
          <w:u w:val="none"/>
          <w:lang w:val="en-US" w:eastAsia="zh-CN"/>
        </w:rPr>
      </w:pPr>
    </w:p>
    <w:p>
      <w:pPr>
        <w:keepNext w:val="0"/>
        <w:keepLines w:val="0"/>
        <w:widowControl/>
        <w:numPr>
          <w:ilvl w:val="0"/>
          <w:numId w:val="0"/>
        </w:numPr>
        <w:suppressLineNumbers w:val="0"/>
        <w:snapToGrid w:val="0"/>
        <w:ind w:leftChars="0" w:firstLine="481"/>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表2：资本构成</w:t>
      </w:r>
    </w:p>
    <w:p>
      <w:pPr>
        <w:keepNext w:val="0"/>
        <w:keepLines w:val="0"/>
        <w:widowControl/>
        <w:numPr>
          <w:ilvl w:val="0"/>
          <w:numId w:val="0"/>
        </w:numPr>
        <w:suppressLineNumbers w:val="0"/>
        <w:snapToGrid w:val="0"/>
        <w:ind w:leftChars="0" w:firstLine="481"/>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 xml:space="preserve">                             </w:t>
      </w:r>
      <w:r>
        <w:rPr>
          <w:rFonts w:hint="eastAsia" w:ascii="仿宋" w:hAnsi="仿宋" w:eastAsia="仿宋" w:cs="仿宋"/>
          <w:b w:val="0"/>
          <w:bCs w:val="0"/>
          <w:i w:val="0"/>
          <w:iCs w:val="0"/>
          <w:color w:val="000000"/>
          <w:sz w:val="21"/>
          <w:szCs w:val="21"/>
          <w:u w:val="none"/>
          <w:lang w:val="en-US" w:eastAsia="zh-CN"/>
        </w:rPr>
        <w:t>单位：人民币万元、%</w:t>
      </w:r>
    </w:p>
    <w:tbl>
      <w:tblPr>
        <w:tblStyle w:val="4"/>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9"/>
        <w:gridCol w:w="6391"/>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2"/>
            <w:tcBorders>
              <w:top w:val="single" w:color="000000" w:sz="12"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1729" w:type="dxa"/>
            <w:tcBorders>
              <w:top w:val="single" w:color="000000" w:sz="12"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2025年12月31日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9" w:type="dxa"/>
            <w:gridSpan w:val="3"/>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核心一级资本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实收资本和资本公积可计入部分</w:t>
            </w:r>
          </w:p>
        </w:tc>
        <w:tc>
          <w:tcPr>
            <w:tcW w:w="1729" w:type="dxa"/>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2,225,691.64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留存收益</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614,409.92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2a</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盈余公积</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8,362.63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2b</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一般风险准备</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450,903.68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2c</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未分配利润</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155,143.62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累计其他综合收益</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42,380.07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少数股东资本可计入部分</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扣除前的核心一级资本</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2,882,481.62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9" w:type="dxa"/>
            <w:gridSpan w:val="3"/>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核心一级资本：扣除项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审慎估值调整</w:t>
            </w:r>
          </w:p>
        </w:tc>
        <w:tc>
          <w:tcPr>
            <w:tcW w:w="1729" w:type="dxa"/>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商誉（扣除递延税负债）</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其他无形资产（土地使用权除外）（扣除递延税负债）</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23,871.85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依赖未来盈利的由经营亏损引起的净递延税资产</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对未按公允价值计量的项目进行现金流套期形成的储备</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损失准备缺口</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资产证券化销售利得</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自身信用风险变化导致其负债公允价值变化带来的未实现损益</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确定受益类的养老金资产净额（扣除递延税负债）</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直接或间接持有本银行的股票</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金融机构间通过协议相互持有的核心一级资本</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对未并表金融机构小额少数资本投资中的核心一级资本中应扣除金额</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对未并表金融机构大额少数资本投资中的核心一级资本中应扣除金额</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其他依赖于银行未来盈利的净递延税资产中应扣除金额</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对未并表金融机构大额少数资本投资中的核心一级资本和其他依赖于银行未来盈利的净递延税资产的未扣除部分超过核心一级资本15%的应扣除金额</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其中：应在对金融机构大额少数资本投资中扣除的金额</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其中：应在其他依赖于银行未来盈利的净递延税资产中扣除的金额</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其他应在核心一级资本中扣除的项目合计</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603.46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应从其他一级资本和二级资本中扣除的未扣缺口</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核心一级资本扣除项总和</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24,475.30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核心一级资本净额</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2,858,006.32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9" w:type="dxa"/>
            <w:gridSpan w:val="3"/>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其他一级资本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0" w:type="auto"/>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其他一级资本工具及其溢价</w:t>
            </w:r>
          </w:p>
        </w:tc>
        <w:tc>
          <w:tcPr>
            <w:tcW w:w="1729" w:type="dxa"/>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其中：权益部分</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其中：负债部分</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少数股东资本可计入部分</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扣除前的其他一级资本</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9" w:type="dxa"/>
            <w:gridSpan w:val="3"/>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其他一级资本：扣除项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0" w:type="auto"/>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直接或间接持有本银行其他一级资本</w:t>
            </w:r>
          </w:p>
        </w:tc>
        <w:tc>
          <w:tcPr>
            <w:tcW w:w="1729" w:type="dxa"/>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金融机构间通过协议相互持有的其他一级资本</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对未并表金融机构小额少数资本投资中的其他一级资本</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对未并表金融机构大额少数资本投资中的其他一级资本</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其他应在其他一级资本中扣除的项目合计</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应从二级资本中扣除的未扣缺口</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其他一级资本扣除项总和</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其他一级资本净额</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一级资本净额</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2,858,006.32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9" w:type="dxa"/>
            <w:gridSpan w:val="3"/>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0" w:type="auto"/>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二级资本工具及其溢价</w:t>
            </w:r>
          </w:p>
        </w:tc>
        <w:tc>
          <w:tcPr>
            <w:tcW w:w="1729" w:type="dxa"/>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少数股东资本可计入部分</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超额损失准备可计入部分</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258,384.39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扣除前的二级资本</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258,384.39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9" w:type="dxa"/>
            <w:gridSpan w:val="3"/>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二级资本：扣除项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0" w:type="auto"/>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直接或间接持有本银行的二级资本</w:t>
            </w:r>
          </w:p>
        </w:tc>
        <w:tc>
          <w:tcPr>
            <w:tcW w:w="1729" w:type="dxa"/>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银行间或银行与其他金融机构间通过协议相互持有的其他一级资本</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对未并表金融机构小额少数资本投资中的二级资本中应扣除金额</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对未并表金融机构大额少数资本投资中的二级资本</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其他应在二级资本中扣除的项目合计</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二级资本扣除项总和</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二级资本净额</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258,384.39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总资本净额</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3,116,390.71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风险加权资产</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22,435,687.40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9" w:type="dxa"/>
            <w:gridSpan w:val="3"/>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资本充足率和其他各级资本要求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0" w:type="auto"/>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核心一级资本充足率（%）</w:t>
            </w:r>
          </w:p>
        </w:tc>
        <w:tc>
          <w:tcPr>
            <w:tcW w:w="1729" w:type="dxa"/>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一级资本充足率（%）</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资本充足率（%）</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其他各级资本要求（%）</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其中：储备资本要求（%）</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其中：逆周期资本要求（%）</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其中：全球系统重要性银行或国内系统重要性银行附加资本要求（%）</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满足最低资本要求后的可用核心一级资本净额占风险加权资产的比例（%）</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9" w:type="dxa"/>
            <w:gridSpan w:val="3"/>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我国最低监管资本要求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0" w:type="auto"/>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核心一级资本充足率（%）</w:t>
            </w:r>
          </w:p>
        </w:tc>
        <w:tc>
          <w:tcPr>
            <w:tcW w:w="1729" w:type="dxa"/>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一级资本充足率（%）</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资本充足率（%）</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9" w:type="dxa"/>
            <w:gridSpan w:val="3"/>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门槛扣除项中未扣除部分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0" w:type="auto"/>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对未并表金融机构的小额少数资本投资中未扣除部分</w:t>
            </w:r>
          </w:p>
        </w:tc>
        <w:tc>
          <w:tcPr>
            <w:tcW w:w="1729" w:type="dxa"/>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42,733.68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对未并表金融机构的大额少数资本投资中未扣除部分</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2,166.06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其他依赖于银行未来盈利的净递延税资产（扣除递延税负债）</w:t>
            </w:r>
          </w:p>
        </w:tc>
        <w:tc>
          <w:tcPr>
            <w:tcW w:w="1729" w:type="dxa"/>
            <w:tcBorders>
              <w:top w:val="single" w:color="auto"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9" w:type="dxa"/>
            <w:gridSpan w:val="3"/>
            <w:tcBorders>
              <w:top w:val="single" w:color="auto" w:sz="4" w:space="0"/>
              <w:left w:val="single" w:color="000000" w:sz="12" w:space="0"/>
              <w:bottom w:val="nil"/>
              <w:right w:val="single" w:color="000000" w:sz="12" w:space="0"/>
            </w:tcBorders>
            <w:shd w:val="clear" w:color="auto" w:fill="BFBFBF"/>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可计入二级资本的超额损失准备的限额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000000" w:sz="12"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0" w:type="auto"/>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权重法下，实际计提的超额损失准备金额</w:t>
            </w:r>
          </w:p>
        </w:tc>
        <w:tc>
          <w:tcPr>
            <w:tcW w:w="1729" w:type="dxa"/>
            <w:tcBorders>
              <w:top w:val="single" w:color="000000" w:sz="4" w:space="0"/>
              <w:left w:val="single" w:color="auto" w:sz="4" w:space="0"/>
              <w:bottom w:val="nil"/>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374,933.06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9" w:type="dxa"/>
            <w:tcBorders>
              <w:top w:val="single" w:color="auto" w:sz="4" w:space="0"/>
              <w:left w:val="single" w:color="000000" w:sz="12"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6391" w:type="dxa"/>
            <w:tcBorders>
              <w:top w:val="single" w:color="auto" w:sz="4" w:space="0"/>
              <w:left w:val="single" w:color="auto" w:sz="4" w:space="0"/>
              <w:bottom w:val="single" w:color="000000" w:sz="12" w:space="0"/>
              <w:right w:val="nil"/>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权重法下，可计入二级资本超额损失准备的数额</w:t>
            </w:r>
          </w:p>
        </w:tc>
        <w:tc>
          <w:tcPr>
            <w:tcW w:w="1729" w:type="dxa"/>
            <w:tcBorders>
              <w:top w:val="single" w:color="auto" w:sz="4" w:space="0"/>
              <w:left w:val="single" w:color="auto" w:sz="4" w:space="0"/>
              <w:bottom w:val="single" w:color="000000" w:sz="12" w:space="0"/>
              <w:right w:val="single" w:color="000000" w:sz="12" w:space="0"/>
            </w:tcBorders>
            <w:shd w:val="clear" w:color="auto" w:fill="auto"/>
            <w:noWrap w:val="0"/>
            <w:tcMar>
              <w:top w:w="-1" w:type="dxa"/>
              <w:left w:w="-1" w:type="dxa"/>
              <w:bottom w:w="-1" w:type="dxa"/>
              <w:right w:w="-1" w:type="dxa"/>
            </w:tcMar>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258,384.39 </w:t>
            </w:r>
          </w:p>
        </w:tc>
      </w:tr>
    </w:tbl>
    <w:p>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p>
    <w:p>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p>
    <w:p>
      <w:pPr>
        <w:keepNext w:val="0"/>
        <w:keepLines w:val="0"/>
        <w:widowControl/>
        <w:suppressLineNumbers w:val="0"/>
        <w:snapToGrid w:val="0"/>
        <w:jc w:val="both"/>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pPr>
        <w:keepNext w:val="0"/>
        <w:keepLines w:val="0"/>
        <w:widowControl/>
        <w:suppressLineNumbers w:val="0"/>
        <w:snapToGrid w:val="0"/>
        <w:jc w:val="center"/>
        <w:textAlignment w:val="center"/>
        <w:rPr>
          <w:rFonts w:ascii="仿宋" w:hAnsi="仿宋" w:eastAsia="仿宋" w:cs="仿宋"/>
          <w:b/>
          <w:bCs/>
          <w:i w:val="0"/>
          <w:iCs w:val="0"/>
          <w:color w:val="000000"/>
          <w:sz w:val="20"/>
          <w:szCs w:val="20"/>
          <w:u w:val="none"/>
        </w:rPr>
      </w:pP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b w:val="0"/>
                              <w:bCs w:val="0"/>
                              <w:sz w:val="32"/>
                              <w:szCs w:val="32"/>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  \* MERGEFORMAT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仿宋" w:hAnsi="仿宋" w:eastAsia="仿宋" w:cs="仿宋"/>
                        <w:b w:val="0"/>
                        <w:bCs w:val="0"/>
                        <w:sz w:val="32"/>
                        <w:szCs w:val="32"/>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  \* MERGEFORMAT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40A49"/>
    <w:rsid w:val="02377801"/>
    <w:rsid w:val="07FC1127"/>
    <w:rsid w:val="0D0C53E6"/>
    <w:rsid w:val="109E4EEF"/>
    <w:rsid w:val="12EC1DC3"/>
    <w:rsid w:val="133D279D"/>
    <w:rsid w:val="160A6A90"/>
    <w:rsid w:val="1A042D57"/>
    <w:rsid w:val="2F7321DB"/>
    <w:rsid w:val="310D3357"/>
    <w:rsid w:val="352D04CC"/>
    <w:rsid w:val="3E430D6E"/>
    <w:rsid w:val="45B253E8"/>
    <w:rsid w:val="485830BD"/>
    <w:rsid w:val="4A9C3BCC"/>
    <w:rsid w:val="4E191136"/>
    <w:rsid w:val="503E1024"/>
    <w:rsid w:val="50ED1473"/>
    <w:rsid w:val="553954C4"/>
    <w:rsid w:val="58E862D4"/>
    <w:rsid w:val="6787315C"/>
    <w:rsid w:val="680F30E4"/>
    <w:rsid w:val="68C74C17"/>
    <w:rsid w:val="6F2F65B3"/>
    <w:rsid w:val="6FB354C9"/>
    <w:rsid w:val="744E128A"/>
    <w:rsid w:val="789F7A7D"/>
    <w:rsid w:val="7DCD73D0"/>
    <w:rsid w:val="7EF40A49"/>
    <w:rsid w:val="7FA65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28</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2026-04-30T08:30:00Z</dcterms:created>
  <dc:creator>露溶</dc:creator>
  <cp:lastModifiedBy>许露溶</cp:lastModifiedBy>
  <dcterms:modified xsi:type="dcterms:W3CDTF">2026-04-30T09:34:11Z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F67BDCBB0FEB42E28A7474CAF1728A96_11</vt:lpwstr>
  </property>
  <property fmtid="{D5CDD505-2E9C-101B-9397-08002B2CF9AE}" pid="4" name="KSOTemplateDocerSaveRecord">
    <vt:lpwstr>eyJoZGlkIjoiMmU3YTAwMTY0YjEyZGU1OTA1NjNjMGVkN2Q2ZTM4YmEiLCJ1c2VySWQiOiIzODQ1MTE3MjUifQ==</vt:lpwstr>
  </property>
</Properties>
</file>