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AC91" w14:textId="32E26079" w:rsidR="005E3442" w:rsidRPr="00B5057A" w:rsidRDefault="008F5D4C" w:rsidP="005E3442">
      <w:pPr>
        <w:pStyle w:val="a8"/>
      </w:pPr>
      <w:r>
        <w:rPr>
          <w:rFonts w:hint="eastAsia"/>
        </w:rPr>
        <w:t>宁银理财宁欣固定收益类封闭式理财</w:t>
      </w:r>
      <w:r w:rsidR="00EE6E85">
        <w:rPr>
          <w:rFonts w:hint="eastAsia"/>
        </w:rPr>
        <w:t>9</w:t>
      </w:r>
      <w:r w:rsidR="000E6156">
        <w:rPr>
          <w:rFonts w:hint="eastAsia"/>
        </w:rPr>
        <w:t>39</w:t>
      </w:r>
      <w:r>
        <w:rPr>
          <w:rFonts w:hint="eastAsia"/>
        </w:rPr>
        <w:t>号</w:t>
      </w:r>
      <w:r w:rsidR="005E3442">
        <w:t>产品投资者权益须知</w:t>
      </w:r>
    </w:p>
    <w:p w14:paraId="46CF025A" w14:textId="38833BE6" w:rsidR="005E3442" w:rsidRPr="00B5057A" w:rsidRDefault="005E3442" w:rsidP="005E3442">
      <w:pPr>
        <w:spacing w:line="400" w:lineRule="exact"/>
        <w:jc w:val="center"/>
        <w:rPr>
          <w:rFonts w:ascii="宋体" w:eastAsia="宋体" w:hAnsi="宋体" w:cs="Times New Roman"/>
          <w:color w:val="000000"/>
          <w:sz w:val="28"/>
          <w:szCs w:val="28"/>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4D48CC">
        <w:rPr>
          <w:rFonts w:ascii="宋体" w:eastAsia="宋体" w:hAnsi="宋体" w:cs="Times New Roman" w:hint="eastAsia"/>
          <w:b/>
          <w:sz w:val="24"/>
          <w:szCs w:val="24"/>
        </w:rPr>
        <w:t>3</w:t>
      </w:r>
      <w:r w:rsidRPr="00B5057A">
        <w:rPr>
          <w:rFonts w:ascii="宋体" w:eastAsia="宋体" w:hAnsi="宋体" w:cs="Times New Roman"/>
          <w:b/>
          <w:sz w:val="24"/>
          <w:szCs w:val="24"/>
        </w:rPr>
        <w:t>0</w:t>
      </w:r>
      <w:r w:rsidR="000A32F5">
        <w:rPr>
          <w:rFonts w:ascii="宋体" w:eastAsia="宋体" w:hAnsi="宋体" w:cs="Times New Roman" w:hint="eastAsia"/>
          <w:b/>
          <w:sz w:val="24"/>
          <w:szCs w:val="24"/>
        </w:rPr>
        <w:t>2</w:t>
      </w:r>
      <w:r w:rsidRPr="00B5057A">
        <w:rPr>
          <w:rFonts w:ascii="宋体" w:eastAsia="宋体" w:hAnsi="宋体" w:cs="Times New Roman" w:hint="eastAsia"/>
          <w:b/>
          <w:sz w:val="24"/>
          <w:szCs w:val="24"/>
        </w:rPr>
        <w:t>版）</w:t>
      </w:r>
    </w:p>
    <w:p w14:paraId="0E9A2212" w14:textId="77777777" w:rsidR="005E3442" w:rsidRPr="00B5057A" w:rsidRDefault="005E3442" w:rsidP="005E3442">
      <w:pPr>
        <w:spacing w:line="312" w:lineRule="auto"/>
        <w:rPr>
          <w:rFonts w:ascii="宋体" w:eastAsia="宋体" w:hAnsi="宋体" w:cs="Times New Roman"/>
          <w:color w:val="000000"/>
          <w:sz w:val="24"/>
          <w:szCs w:val="24"/>
        </w:rPr>
      </w:pPr>
    </w:p>
    <w:p w14:paraId="4A19CB2E" w14:textId="77777777" w:rsidR="005E3442" w:rsidRPr="00B5057A" w:rsidRDefault="005E3442" w:rsidP="005E3442">
      <w:pPr>
        <w:spacing w:line="312" w:lineRule="auto"/>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尊敬的投资者：</w:t>
      </w:r>
    </w:p>
    <w:p w14:paraId="5A9477DB"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购买宁银理财有限</w:t>
      </w:r>
      <w:r w:rsidRPr="00B5057A">
        <w:rPr>
          <w:rFonts w:ascii="宋体" w:eastAsia="宋体" w:hAnsi="宋体" w:cs="Times New Roman"/>
          <w:color w:val="000000"/>
          <w:sz w:val="24"/>
          <w:szCs w:val="24"/>
        </w:rPr>
        <w:t>责任公司（</w:t>
      </w:r>
      <w:r w:rsidRPr="00B5057A">
        <w:rPr>
          <w:rFonts w:ascii="宋体" w:eastAsia="宋体" w:hAnsi="宋体" w:cs="Times New Roman" w:hint="eastAsia"/>
          <w:color w:val="000000"/>
          <w:sz w:val="24"/>
          <w:szCs w:val="24"/>
        </w:rPr>
        <w:t>下称“宁银理财”或“本公司”</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发行的</w:t>
      </w:r>
      <w:r w:rsidRPr="00B5057A">
        <w:rPr>
          <w:rFonts w:ascii="宋体" w:eastAsia="宋体" w:hAnsi="宋体" w:cs="Times New Roman"/>
          <w:color w:val="000000"/>
          <w:sz w:val="24"/>
          <w:szCs w:val="24"/>
        </w:rPr>
        <w:t>理财</w:t>
      </w:r>
      <w:r w:rsidRPr="00B5057A">
        <w:rPr>
          <w:rFonts w:ascii="宋体" w:eastAsia="宋体" w:hAnsi="宋体" w:cs="Times New Roman" w:hint="eastAsia"/>
          <w:color w:val="000000"/>
          <w:sz w:val="24"/>
          <w:szCs w:val="24"/>
        </w:rPr>
        <w:t>产品，有机会获取投资收益，同时也存在一定投资风险，为了保护您的合法权益，请在购买之前认真阅读以下内容：</w:t>
      </w:r>
    </w:p>
    <w:p w14:paraId="0CC6E5BA"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一、理财产品办理流程</w:t>
      </w:r>
    </w:p>
    <w:p w14:paraId="4567C9E4"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投资者可通过宁银理财或代理销售机构的营业网点</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电话</w:t>
      </w:r>
      <w:r w:rsidRPr="00B5057A">
        <w:rPr>
          <w:rFonts w:ascii="宋体" w:eastAsia="宋体" w:hAnsi="宋体" w:cs="Times New Roman" w:hint="eastAsia"/>
          <w:color w:val="000000"/>
          <w:sz w:val="24"/>
          <w:szCs w:val="24"/>
        </w:rPr>
        <w:t>、电子渠道</w:t>
      </w:r>
      <w:r w:rsidRPr="00B5057A">
        <w:rPr>
          <w:rFonts w:ascii="宋体" w:eastAsia="宋体" w:hAnsi="宋体" w:cs="Times New Roman"/>
          <w:color w:val="000000"/>
          <w:sz w:val="24"/>
          <w:szCs w:val="24"/>
        </w:rPr>
        <w:t>等</w:t>
      </w:r>
      <w:r w:rsidRPr="00B5057A">
        <w:rPr>
          <w:rFonts w:ascii="宋体" w:eastAsia="宋体" w:hAnsi="宋体" w:cs="Times New Roman" w:hint="eastAsia"/>
          <w:color w:val="000000"/>
          <w:sz w:val="24"/>
          <w:szCs w:val="24"/>
        </w:rPr>
        <w:t>途径</w:t>
      </w:r>
      <w:r w:rsidRPr="00B5057A">
        <w:rPr>
          <w:rFonts w:ascii="宋体" w:eastAsia="宋体" w:hAnsi="宋体" w:cs="Times New Roman"/>
          <w:color w:val="000000"/>
          <w:sz w:val="24"/>
          <w:szCs w:val="24"/>
        </w:rPr>
        <w:t>了解</w:t>
      </w:r>
      <w:r w:rsidRPr="00B5057A">
        <w:rPr>
          <w:rFonts w:ascii="宋体" w:eastAsia="宋体" w:hAnsi="宋体" w:cs="Times New Roman" w:hint="eastAsia"/>
          <w:color w:val="000000"/>
          <w:sz w:val="24"/>
          <w:szCs w:val="24"/>
        </w:rPr>
        <w:t>本公司理财产品购买方式、收费标准及方式等，通过《理财产品说明书》</w:t>
      </w:r>
      <w:r w:rsidRPr="00B5057A">
        <w:rPr>
          <w:rFonts w:ascii="宋体" w:eastAsia="宋体" w:hAnsi="宋体" w:cs="Times New Roman"/>
          <w:color w:val="000000"/>
          <w:sz w:val="24"/>
          <w:szCs w:val="24"/>
        </w:rPr>
        <w:t>了解产品要素</w:t>
      </w:r>
      <w:r w:rsidRPr="00B5057A">
        <w:rPr>
          <w:rFonts w:ascii="宋体" w:eastAsia="宋体" w:hAnsi="宋体" w:cs="Times New Roman" w:hint="eastAsia"/>
          <w:color w:val="000000"/>
          <w:sz w:val="24"/>
          <w:szCs w:val="24"/>
        </w:rPr>
        <w:t>。</w:t>
      </w:r>
    </w:p>
    <w:p w14:paraId="39B907F2"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非机构投资者在宁银理财直销渠道购买理财产品时，需填写《宁银理财投资者风险承受能力评估书》，了解自身风险承受能力评估情况。非机构投资者在代理销售机构购买理财产品时，风险承受能力评估由代理销售机构负责，应按照代理销售机构的要求进行投资者风险承受能力评估。</w:t>
      </w:r>
    </w:p>
    <w:p w14:paraId="0A7299C5"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在</w:t>
      </w:r>
      <w:r w:rsidRPr="00B5057A">
        <w:rPr>
          <w:rFonts w:ascii="宋体" w:eastAsia="宋体" w:hAnsi="宋体" w:cs="Times New Roman"/>
          <w:color w:val="000000"/>
          <w:sz w:val="24"/>
          <w:szCs w:val="24"/>
        </w:rPr>
        <w:t>决定购买前，</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还需</w:t>
      </w:r>
      <w:r w:rsidRPr="00B5057A">
        <w:rPr>
          <w:rFonts w:ascii="宋体" w:eastAsia="宋体" w:hAnsi="宋体" w:cs="Times New Roman" w:hint="eastAsia"/>
          <w:color w:val="000000"/>
          <w:sz w:val="24"/>
          <w:szCs w:val="24"/>
        </w:rPr>
        <w:t>阅读并签署具体理财产品销售文件，包括但不限于《理财产品说明书》、《风险揭示书》、《销售（代理销售）协议书》、《投资协议书》、《投资者权益须知》，并抄录风险确认语句。</w:t>
      </w:r>
    </w:p>
    <w:p w14:paraId="6981DFA6"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二、非机构投资者风险承受能力评估</w:t>
      </w:r>
    </w:p>
    <w:p w14:paraId="366DCF47"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非机构投资者在宁银理财或代理销售机构首次购买理财产品前，需进行风险承受能力评估。超过</w:t>
      </w:r>
      <w:r w:rsidRPr="00B5057A">
        <w:rPr>
          <w:rFonts w:ascii="宋体" w:eastAsia="宋体" w:hAnsi="宋体" w:cs="Times New Roman"/>
          <w:color w:val="000000"/>
          <w:sz w:val="24"/>
          <w:szCs w:val="24"/>
        </w:rPr>
        <w:t>一年未进行风险承受能力</w:t>
      </w:r>
      <w:r w:rsidRPr="00B5057A">
        <w:rPr>
          <w:rFonts w:ascii="宋体" w:eastAsia="宋体" w:hAnsi="宋体" w:cs="Times New Roman" w:hint="eastAsia"/>
          <w:color w:val="000000"/>
          <w:sz w:val="24"/>
          <w:szCs w:val="24"/>
        </w:rPr>
        <w:t>评估或</w:t>
      </w:r>
      <w:r w:rsidRPr="00B5057A">
        <w:rPr>
          <w:rFonts w:ascii="宋体" w:eastAsia="宋体" w:hAnsi="宋体" w:cs="Times New Roman"/>
          <w:color w:val="000000"/>
          <w:sz w:val="24"/>
          <w:szCs w:val="24"/>
        </w:rPr>
        <w:t>发生可能影响自身风险承受能力情况的投资者，再次购买理财产品前，应当</w:t>
      </w:r>
      <w:r w:rsidRPr="00B5057A">
        <w:rPr>
          <w:rFonts w:ascii="宋体" w:eastAsia="宋体" w:hAnsi="宋体" w:cs="Times New Roman" w:hint="eastAsia"/>
          <w:color w:val="000000"/>
          <w:sz w:val="24"/>
          <w:szCs w:val="24"/>
        </w:rPr>
        <w:t>在宁银理财或代理销售机构重新完成</w:t>
      </w:r>
      <w:r w:rsidRPr="00B5057A">
        <w:rPr>
          <w:rFonts w:ascii="宋体" w:eastAsia="宋体" w:hAnsi="宋体" w:cs="Times New Roman"/>
          <w:color w:val="000000"/>
          <w:sz w:val="24"/>
          <w:szCs w:val="24"/>
        </w:rPr>
        <w:t>风险承受能力评估。</w:t>
      </w:r>
    </w:p>
    <w:p w14:paraId="2DB5A6D1"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color w:val="000000"/>
          <w:sz w:val="24"/>
          <w:szCs w:val="24"/>
        </w:rPr>
        <w:t>《宁银理财投资者风险承受能力评估书》进行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w:t>
      </w:r>
      <w:r w:rsidRPr="00B5057A">
        <w:rPr>
          <w:rFonts w:ascii="宋体" w:eastAsia="宋体" w:hAnsi="宋体" w:cs="Times New Roman"/>
          <w:color w:val="000000"/>
          <w:sz w:val="24"/>
          <w:szCs w:val="24"/>
        </w:rPr>
        <w:t>能力评估的投资者，</w:t>
      </w:r>
      <w:r w:rsidRPr="00B5057A">
        <w:rPr>
          <w:rFonts w:ascii="宋体" w:eastAsia="宋体" w:hAnsi="宋体" w:cs="Times New Roman" w:hint="eastAsia"/>
          <w:color w:val="000000"/>
          <w:sz w:val="24"/>
          <w:szCs w:val="24"/>
        </w:rPr>
        <w:t>风险承受能力可分为5级，由低至高分别为保守型（可以承担低风险而作风谨慎类型的投资者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、稳健型（可以承担低至中低风险类型的投资者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、平衡型（可以承担中等风险类型的投资者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、成长型（可以承担中等至中高风险类型的投资者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、进取型（可以承受高风险类型的投资者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。投资者应购买与本人风险级别相匹配的理财产品，匹配</w:t>
      </w:r>
      <w:r w:rsidRPr="00B5057A">
        <w:rPr>
          <w:rFonts w:ascii="宋体" w:eastAsia="宋体" w:hAnsi="宋体" w:cs="Times New Roman"/>
          <w:color w:val="000000"/>
          <w:sz w:val="24"/>
          <w:szCs w:val="24"/>
        </w:rPr>
        <w:t>情况见下表：</w:t>
      </w:r>
    </w:p>
    <w:tbl>
      <w:tblPr>
        <w:tblStyle w:val="11"/>
        <w:tblW w:w="8364" w:type="dxa"/>
        <w:tblInd w:w="-5" w:type="dxa"/>
        <w:tblLook w:val="04A0" w:firstRow="1" w:lastRow="0" w:firstColumn="1" w:lastColumn="0" w:noHBand="0" w:noVBand="1"/>
      </w:tblPr>
      <w:tblGrid>
        <w:gridCol w:w="1418"/>
        <w:gridCol w:w="4252"/>
        <w:gridCol w:w="2694"/>
      </w:tblGrid>
      <w:tr w:rsidR="005E3442" w:rsidRPr="00B5057A" w14:paraId="3CAC7B9E" w14:textId="77777777" w:rsidTr="00C40B4B">
        <w:tc>
          <w:tcPr>
            <w:tcW w:w="1418" w:type="dxa"/>
          </w:tcPr>
          <w:p w14:paraId="2CCD79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产品风险等级</w:t>
            </w:r>
          </w:p>
        </w:tc>
        <w:tc>
          <w:tcPr>
            <w:tcW w:w="4252" w:type="dxa"/>
          </w:tcPr>
          <w:p w14:paraId="61B9A66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w:t>
            </w:r>
            <w:r w:rsidRPr="00B5057A">
              <w:rPr>
                <w:rFonts w:ascii="宋体" w:hAnsi="宋体"/>
                <w:color w:val="000000"/>
                <w:szCs w:val="21"/>
              </w:rPr>
              <w:t>风险</w:t>
            </w:r>
            <w:r w:rsidRPr="00B5057A">
              <w:rPr>
                <w:rFonts w:ascii="宋体" w:hAnsi="宋体" w:hint="eastAsia"/>
                <w:color w:val="000000"/>
                <w:szCs w:val="21"/>
              </w:rPr>
              <w:t>评级说明</w:t>
            </w:r>
          </w:p>
        </w:tc>
        <w:tc>
          <w:tcPr>
            <w:tcW w:w="2694" w:type="dxa"/>
          </w:tcPr>
          <w:p w14:paraId="2A31343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目标投资者</w:t>
            </w:r>
          </w:p>
        </w:tc>
      </w:tr>
      <w:tr w:rsidR="005E3442" w:rsidRPr="00B5057A" w14:paraId="29B22180" w14:textId="77777777" w:rsidTr="00C40B4B">
        <w:tc>
          <w:tcPr>
            <w:tcW w:w="1418" w:type="dxa"/>
          </w:tcPr>
          <w:p w14:paraId="400F363D"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低风险产品</w:t>
            </w:r>
          </w:p>
          <w:p w14:paraId="22A093D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PR1</w:t>
            </w:r>
            <w:r w:rsidRPr="00B5057A">
              <w:rPr>
                <w:rFonts w:ascii="宋体" w:hAnsi="宋体" w:hint="eastAsia"/>
                <w:color w:val="000000"/>
                <w:szCs w:val="21"/>
              </w:rPr>
              <w:t>）</w:t>
            </w:r>
          </w:p>
        </w:tc>
        <w:tc>
          <w:tcPr>
            <w:tcW w:w="4252" w:type="dxa"/>
          </w:tcPr>
          <w:p w14:paraId="05542BC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理财产品的总体风险程度很低，宁银理财不承诺本金的完全保障，净值波动很小。宁银理财</w:t>
            </w:r>
            <w:r w:rsidRPr="00B5057A">
              <w:rPr>
                <w:rFonts w:ascii="宋体" w:hAnsi="宋体" w:hint="eastAsia"/>
                <w:color w:val="000000"/>
                <w:szCs w:val="21"/>
              </w:rPr>
              <w:lastRenderedPageBreak/>
              <w:t>对于产品本金的正常兑付有较为充分的把握。</w:t>
            </w:r>
          </w:p>
        </w:tc>
        <w:tc>
          <w:tcPr>
            <w:tcW w:w="2694" w:type="dxa"/>
          </w:tcPr>
          <w:p w14:paraId="091FF2CC" w14:textId="77777777" w:rsidR="005E3442" w:rsidRPr="00B5057A" w:rsidRDefault="005E3442" w:rsidP="00C40B4B">
            <w:pPr>
              <w:spacing w:line="312" w:lineRule="auto"/>
              <w:rPr>
                <w:rFonts w:ascii="宋体" w:eastAsia="仿宋_GB2312" w:hAnsi="宋体" w:cs="仿宋_GB2312"/>
                <w:color w:val="000000"/>
                <w:szCs w:val="21"/>
              </w:rPr>
            </w:pPr>
            <w:r w:rsidRPr="00B5057A">
              <w:rPr>
                <w:rFonts w:ascii="宋体" w:hAnsi="宋体" w:hint="eastAsia"/>
                <w:color w:val="000000"/>
                <w:szCs w:val="21"/>
              </w:rPr>
              <w:lastRenderedPageBreak/>
              <w:t>经宁银理财非机构投资者风险承受能力评估为保守型、</w:t>
            </w:r>
            <w:r w:rsidRPr="00B5057A">
              <w:rPr>
                <w:rFonts w:ascii="宋体" w:hAnsi="宋体" w:hint="eastAsia"/>
                <w:color w:val="000000"/>
                <w:szCs w:val="21"/>
              </w:rPr>
              <w:lastRenderedPageBreak/>
              <w:t>稳健型、平衡型、成长型、进取型的投资者</w:t>
            </w:r>
          </w:p>
        </w:tc>
      </w:tr>
      <w:tr w:rsidR="005E3442" w:rsidRPr="00B5057A" w14:paraId="4B9458CA" w14:textId="77777777" w:rsidTr="00C40B4B">
        <w:tc>
          <w:tcPr>
            <w:tcW w:w="1418" w:type="dxa"/>
          </w:tcPr>
          <w:p w14:paraId="31BBF77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lastRenderedPageBreak/>
              <w:t>中低风险产品（</w:t>
            </w:r>
            <w:r w:rsidRPr="00B5057A">
              <w:rPr>
                <w:rFonts w:ascii="宋体" w:hAnsi="宋体"/>
                <w:color w:val="000000"/>
                <w:szCs w:val="21"/>
              </w:rPr>
              <w:t>PR2</w:t>
            </w:r>
            <w:r w:rsidRPr="00B5057A">
              <w:rPr>
                <w:rFonts w:ascii="宋体" w:hAnsi="宋体" w:hint="eastAsia"/>
                <w:color w:val="000000"/>
                <w:szCs w:val="21"/>
              </w:rPr>
              <w:t>）</w:t>
            </w:r>
          </w:p>
        </w:tc>
        <w:tc>
          <w:tcPr>
            <w:tcW w:w="4252" w:type="dxa"/>
          </w:tcPr>
          <w:p w14:paraId="1311E43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理财产品的总体风险程度较低，宁银理财不承诺本金保障，净值波动较小。虽然存在一些可能对产品本金安全产生不利影响的因素，但产品本金出现损失的可能性较小。</w:t>
            </w:r>
            <w:r w:rsidRPr="00B5057A">
              <w:rPr>
                <w:rFonts w:ascii="宋体" w:hAnsi="宋体"/>
                <w:color w:val="000000"/>
                <w:szCs w:val="21"/>
              </w:rPr>
              <w:t xml:space="preserve"> </w:t>
            </w:r>
          </w:p>
        </w:tc>
        <w:tc>
          <w:tcPr>
            <w:tcW w:w="2694" w:type="dxa"/>
          </w:tcPr>
          <w:p w14:paraId="306C7369"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经宁银理财非机构投资者风险承受能力评估为为稳健型、平衡型、成长型、进取型的投资者</w:t>
            </w:r>
          </w:p>
        </w:tc>
      </w:tr>
      <w:tr w:rsidR="005E3442" w:rsidRPr="00B5057A" w14:paraId="22E8779E" w14:textId="77777777" w:rsidTr="00C40B4B">
        <w:tc>
          <w:tcPr>
            <w:tcW w:w="1418" w:type="dxa"/>
          </w:tcPr>
          <w:p w14:paraId="151F08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中风险产品</w:t>
            </w:r>
          </w:p>
          <w:p w14:paraId="629470DB"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PR3</w:t>
            </w:r>
            <w:r w:rsidRPr="00B5057A">
              <w:rPr>
                <w:rFonts w:ascii="宋体" w:hAnsi="宋体" w:hint="eastAsia"/>
                <w:color w:val="000000"/>
                <w:szCs w:val="21"/>
              </w:rPr>
              <w:t>）</w:t>
            </w:r>
          </w:p>
        </w:tc>
        <w:tc>
          <w:tcPr>
            <w:tcW w:w="4252" w:type="dxa"/>
          </w:tcPr>
          <w:p w14:paraId="73BA612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理财产品的总体风险程度适中，宁银理财不承诺本金保障，净值随投资的市场表现波动较明显，产品本金出现损失的可能性不容忽视。</w:t>
            </w:r>
            <w:r w:rsidRPr="00B5057A">
              <w:rPr>
                <w:rFonts w:ascii="宋体" w:hAnsi="宋体"/>
                <w:color w:val="000000"/>
                <w:szCs w:val="21"/>
              </w:rPr>
              <w:t xml:space="preserve"> </w:t>
            </w:r>
          </w:p>
        </w:tc>
        <w:tc>
          <w:tcPr>
            <w:tcW w:w="2694" w:type="dxa"/>
          </w:tcPr>
          <w:p w14:paraId="502E7FC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经宁银理财非机构投资者风险承受能力评估为平衡型、成长型、进取型的投资者</w:t>
            </w:r>
          </w:p>
        </w:tc>
      </w:tr>
      <w:tr w:rsidR="005E3442" w:rsidRPr="00B5057A" w14:paraId="33257878" w14:textId="77777777" w:rsidTr="00C40B4B">
        <w:tc>
          <w:tcPr>
            <w:tcW w:w="1418" w:type="dxa"/>
          </w:tcPr>
          <w:p w14:paraId="4B41B41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w:t>
            </w:r>
            <w:r w:rsidRPr="00B5057A">
              <w:rPr>
                <w:rFonts w:ascii="宋体" w:hAnsi="宋体"/>
                <w:color w:val="000000"/>
                <w:szCs w:val="21"/>
              </w:rPr>
              <w:t>高</w:t>
            </w:r>
            <w:r w:rsidRPr="00B5057A">
              <w:rPr>
                <w:rFonts w:ascii="宋体" w:hAnsi="宋体" w:hint="eastAsia"/>
                <w:color w:val="000000"/>
                <w:szCs w:val="21"/>
              </w:rPr>
              <w:t>风险产品（</w:t>
            </w:r>
            <w:r w:rsidRPr="00B5057A">
              <w:rPr>
                <w:rFonts w:ascii="宋体" w:hAnsi="宋体"/>
                <w:color w:val="000000"/>
                <w:szCs w:val="21"/>
              </w:rPr>
              <w:t>PR4</w:t>
            </w:r>
            <w:r w:rsidRPr="00B5057A">
              <w:rPr>
                <w:rFonts w:ascii="宋体" w:hAnsi="宋体" w:hint="eastAsia"/>
                <w:color w:val="000000"/>
                <w:szCs w:val="21"/>
              </w:rPr>
              <w:t>）</w:t>
            </w:r>
          </w:p>
        </w:tc>
        <w:tc>
          <w:tcPr>
            <w:tcW w:w="4252" w:type="dxa"/>
          </w:tcPr>
          <w:p w14:paraId="32A6284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理财产品的总体风险程度较高，宁银理财不承诺本金保障，净值随投资的市场表现波动明显，产品本金出现损失的可能性较高。</w:t>
            </w:r>
            <w:r w:rsidRPr="00B5057A">
              <w:rPr>
                <w:rFonts w:ascii="宋体" w:hAnsi="宋体"/>
                <w:color w:val="000000"/>
                <w:szCs w:val="21"/>
              </w:rPr>
              <w:t xml:space="preserve"> </w:t>
            </w:r>
          </w:p>
        </w:tc>
        <w:tc>
          <w:tcPr>
            <w:tcW w:w="2694" w:type="dxa"/>
          </w:tcPr>
          <w:p w14:paraId="2B63EA6F"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经宁银理财非机构投资者风险承受能力评估为成长型、进取型的投资者</w:t>
            </w:r>
          </w:p>
        </w:tc>
      </w:tr>
      <w:tr w:rsidR="005E3442" w:rsidRPr="00B5057A" w14:paraId="2BE8BD00" w14:textId="77777777" w:rsidTr="00C40B4B">
        <w:tc>
          <w:tcPr>
            <w:tcW w:w="1418" w:type="dxa"/>
          </w:tcPr>
          <w:p w14:paraId="3F8B6CC2"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高风险产品</w:t>
            </w:r>
          </w:p>
          <w:p w14:paraId="62D82E28"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PR5</w:t>
            </w:r>
            <w:r w:rsidRPr="00B5057A">
              <w:rPr>
                <w:rFonts w:ascii="宋体" w:hAnsi="宋体" w:hint="eastAsia"/>
                <w:color w:val="000000"/>
                <w:szCs w:val="21"/>
              </w:rPr>
              <w:t>）</w:t>
            </w:r>
          </w:p>
        </w:tc>
        <w:tc>
          <w:tcPr>
            <w:tcW w:w="4252" w:type="dxa"/>
          </w:tcPr>
          <w:p w14:paraId="1A6FB30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理财产品的总体风险程度高，宁银理财不承诺本金保障，净值随投资的市场表现波动明显，产品本金出现损失的可能性很高，产品本金蒙受全部损失的可能性不容忽视。</w:t>
            </w:r>
            <w:r w:rsidRPr="00B5057A">
              <w:rPr>
                <w:rFonts w:ascii="宋体" w:hAnsi="宋体"/>
                <w:color w:val="000000"/>
                <w:szCs w:val="21"/>
              </w:rPr>
              <w:t xml:space="preserve"> </w:t>
            </w:r>
          </w:p>
        </w:tc>
        <w:tc>
          <w:tcPr>
            <w:tcW w:w="2694" w:type="dxa"/>
          </w:tcPr>
          <w:p w14:paraId="4A3344F1"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经宁银理财非机构投资者风险承受能力评估为进取型的投资者</w:t>
            </w:r>
          </w:p>
        </w:tc>
      </w:tr>
    </w:tbl>
    <w:p w14:paraId="1AA76E9C"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sz w:val="24"/>
          <w:szCs w:val="24"/>
        </w:rPr>
        <w:t>代理销售</w:t>
      </w:r>
      <w:r w:rsidRPr="00B5057A">
        <w:rPr>
          <w:rFonts w:ascii="宋体" w:eastAsia="宋体" w:hAnsi="宋体" w:cs="Times New Roman" w:hint="eastAsia"/>
          <w:color w:val="000000"/>
          <w:sz w:val="24"/>
          <w:szCs w:val="24"/>
        </w:rPr>
        <w:t>机构进行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承受能力</w:t>
      </w:r>
      <w:r w:rsidRPr="00B5057A">
        <w:rPr>
          <w:rFonts w:ascii="宋体" w:eastAsia="宋体" w:hAnsi="宋体" w:cs="Times New Roman"/>
          <w:color w:val="000000"/>
          <w:sz w:val="24"/>
          <w:szCs w:val="24"/>
        </w:rPr>
        <w:t>评估的投资者，</w:t>
      </w:r>
      <w:r w:rsidRPr="00B5057A">
        <w:rPr>
          <w:rFonts w:ascii="宋体" w:eastAsia="宋体" w:hAnsi="宋体" w:cs="Times New Roman" w:hint="eastAsia"/>
          <w:sz w:val="24"/>
          <w:szCs w:val="24"/>
        </w:rPr>
        <w:t>风险承受能力等级以代理销售机构的评估结果为准</w:t>
      </w:r>
      <w:r w:rsidRPr="00B5057A">
        <w:rPr>
          <w:rFonts w:ascii="宋体" w:eastAsia="宋体" w:hAnsi="宋体" w:cs="Times New Roman"/>
          <w:color w:val="000000"/>
          <w:sz w:val="24"/>
          <w:szCs w:val="24"/>
        </w:rPr>
        <w:t>。</w:t>
      </w:r>
    </w:p>
    <w:p w14:paraId="244B26B3"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三、信息披露</w:t>
      </w:r>
    </w:p>
    <w:p w14:paraId="72185433" w14:textId="796FDA86"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宁银理财将于理财产品募集期间、存续期间和终止时，通过本公司网站（</w:t>
      </w:r>
      <w:r w:rsidRPr="00CF4F9C">
        <w:rPr>
          <w:rFonts w:ascii="宋体" w:eastAsia="宋体" w:hAnsi="宋体" w:cs="Times New Roman"/>
          <w:color w:val="000000"/>
          <w:sz w:val="24"/>
          <w:szCs w:val="24"/>
        </w:rPr>
        <w:t>www.wmbnb.com</w:t>
      </w:r>
      <w:r w:rsidRPr="00B5057A">
        <w:rPr>
          <w:rFonts w:ascii="宋体" w:eastAsia="宋体" w:hAnsi="宋体" w:cs="Times New Roman" w:hint="eastAsia"/>
          <w:color w:val="000000"/>
          <w:sz w:val="24"/>
          <w:szCs w:val="24"/>
        </w:rPr>
        <w:t>）、相关产品代理销售机构官方渠道或其他</w:t>
      </w:r>
      <w:r w:rsidR="004D48CC">
        <w:rPr>
          <w:rFonts w:ascii="宋体" w:eastAsia="宋体" w:hAnsi="宋体" w:cs="Times New Roman" w:hint="eastAsia"/>
          <w:color w:val="000000"/>
          <w:sz w:val="24"/>
          <w:szCs w:val="24"/>
        </w:rPr>
        <w:t>适当的</w:t>
      </w:r>
      <w:r w:rsidRPr="00B5057A">
        <w:rPr>
          <w:rFonts w:ascii="宋体" w:eastAsia="宋体" w:hAnsi="宋体" w:cs="Times New Roman" w:hint="eastAsia"/>
          <w:color w:val="000000"/>
          <w:sz w:val="24"/>
          <w:szCs w:val="24"/>
        </w:rPr>
        <w:t>方式进行信息披露（具体产品</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信息披露方式、频率等规则见</w:t>
      </w:r>
      <w:r w:rsidRPr="00B5057A">
        <w:rPr>
          <w:rFonts w:ascii="宋体" w:eastAsia="宋体" w:hAnsi="宋体" w:cs="Times New Roman" w:hint="eastAsia"/>
          <w:sz w:val="24"/>
          <w:szCs w:val="24"/>
        </w:rPr>
        <w:t>《理财产品说明书》</w:t>
      </w:r>
      <w:r w:rsidRPr="00B5057A">
        <w:rPr>
          <w:rFonts w:ascii="宋体" w:eastAsia="宋体" w:hAnsi="宋体" w:cs="Times New Roman" w:hint="eastAsia"/>
          <w:color w:val="000000"/>
          <w:sz w:val="24"/>
          <w:szCs w:val="24"/>
        </w:rPr>
        <w:t>）。宁银理财或</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通过理财产品销售</w:t>
      </w:r>
      <w:r w:rsidRPr="00B5057A">
        <w:rPr>
          <w:rFonts w:ascii="宋体" w:eastAsia="宋体" w:hAnsi="宋体" w:cs="Times New Roman"/>
          <w:color w:val="000000"/>
          <w:sz w:val="24"/>
          <w:szCs w:val="24"/>
        </w:rPr>
        <w:t>文件</w:t>
      </w:r>
      <w:r w:rsidRPr="00B5057A">
        <w:rPr>
          <w:rFonts w:ascii="宋体" w:eastAsia="宋体" w:hAnsi="宋体" w:cs="Times New Roman" w:hint="eastAsia"/>
          <w:color w:val="000000"/>
          <w:sz w:val="24"/>
          <w:szCs w:val="24"/>
        </w:rPr>
        <w:t>约定</w:t>
      </w:r>
      <w:r w:rsidRPr="00B5057A">
        <w:rPr>
          <w:rFonts w:ascii="宋体" w:eastAsia="宋体" w:hAnsi="宋体" w:cs="Times New Roman"/>
          <w:color w:val="000000"/>
          <w:sz w:val="24"/>
          <w:szCs w:val="24"/>
        </w:rPr>
        <w:t>方式披露信息后，</w:t>
      </w:r>
      <w:r w:rsidRPr="00B5057A">
        <w:rPr>
          <w:rFonts w:ascii="宋体" w:eastAsia="宋体" w:hAnsi="宋体" w:cs="Times New Roman" w:hint="eastAsia"/>
          <w:color w:val="000000"/>
          <w:sz w:val="24"/>
          <w:szCs w:val="24"/>
        </w:rPr>
        <w:t>视为宁银理财已</w:t>
      </w:r>
      <w:r w:rsidRPr="00B5057A">
        <w:rPr>
          <w:rFonts w:ascii="宋体" w:eastAsia="宋体" w:hAnsi="宋体" w:cs="Times New Roman"/>
          <w:color w:val="000000"/>
          <w:sz w:val="24"/>
          <w:szCs w:val="24"/>
        </w:rPr>
        <w:t>向</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完全履行信息披露义务</w:t>
      </w:r>
      <w:r w:rsidRPr="00B5057A">
        <w:rPr>
          <w:rFonts w:ascii="宋体" w:eastAsia="宋体" w:hAnsi="宋体" w:cs="Times New Roman" w:hint="eastAsia"/>
          <w:color w:val="000000"/>
          <w:sz w:val="24"/>
          <w:szCs w:val="24"/>
        </w:rPr>
        <w:t>，投资者应依据理财产品销售文件的约定，及时通过宁银理财网站、客服热线或</w:t>
      </w:r>
      <w:r w:rsidRPr="00B5057A">
        <w:rPr>
          <w:rFonts w:ascii="宋体" w:eastAsia="宋体" w:hAnsi="宋体" w:cs="Times New Roman"/>
          <w:color w:val="000000"/>
          <w:sz w:val="24"/>
          <w:szCs w:val="24"/>
        </w:rPr>
        <w:t>相关</w:t>
      </w:r>
      <w:r w:rsidRPr="00B5057A">
        <w:rPr>
          <w:rFonts w:ascii="宋体" w:eastAsia="宋体" w:hAnsi="宋体" w:cs="Times New Roman" w:hint="eastAsia"/>
          <w:color w:val="000000"/>
          <w:sz w:val="24"/>
          <w:szCs w:val="24"/>
        </w:rPr>
        <w:t>产品</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官方渠道</w:t>
      </w:r>
      <w:r w:rsidRPr="00B5057A">
        <w:rPr>
          <w:rFonts w:ascii="宋体" w:eastAsia="宋体" w:hAnsi="宋体" w:cs="Times New Roman"/>
          <w:color w:val="000000"/>
          <w:sz w:val="24"/>
          <w:szCs w:val="24"/>
        </w:rPr>
        <w:t>进行</w:t>
      </w:r>
      <w:r w:rsidRPr="00B5057A">
        <w:rPr>
          <w:rFonts w:ascii="宋体" w:eastAsia="宋体" w:hAnsi="宋体" w:cs="Times New Roman" w:hint="eastAsia"/>
          <w:color w:val="000000"/>
          <w:sz w:val="24"/>
          <w:szCs w:val="24"/>
        </w:rPr>
        <w:t>查询。</w:t>
      </w:r>
    </w:p>
    <w:p w14:paraId="2A632B0E"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四、投资者信息管理</w:t>
      </w:r>
    </w:p>
    <w:p w14:paraId="39777BBF" w14:textId="5585856A"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基于</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履行</w:t>
      </w:r>
      <w:r w:rsidRPr="00B5057A">
        <w:rPr>
          <w:rFonts w:ascii="宋体" w:eastAsia="宋体" w:hAnsi="宋体" w:cs="Times New Roman" w:hint="eastAsia"/>
          <w:sz w:val="24"/>
          <w:szCs w:val="24"/>
        </w:rPr>
        <w:t>理财产品销售文件所载明的各项义务</w:t>
      </w:r>
      <w:r w:rsidRPr="00B5057A">
        <w:rPr>
          <w:rFonts w:ascii="宋体" w:eastAsia="宋体" w:hAnsi="宋体" w:cs="Times New Roman"/>
          <w:sz w:val="24"/>
          <w:szCs w:val="24"/>
        </w:rPr>
        <w:t>、进行服务管理和风险管理、报送监管信息</w:t>
      </w:r>
      <w:r w:rsidRPr="00B5057A">
        <w:rPr>
          <w:rFonts w:ascii="宋体" w:eastAsia="宋体" w:hAnsi="宋体" w:cs="Times New Roman" w:hint="eastAsia"/>
          <w:sz w:val="24"/>
          <w:szCs w:val="24"/>
        </w:rPr>
        <w:t>、</w:t>
      </w:r>
      <w:r w:rsidRPr="00B5057A">
        <w:rPr>
          <w:rFonts w:ascii="宋体" w:eastAsia="宋体" w:hAnsi="宋体" w:cs="Times New Roman"/>
          <w:sz w:val="24"/>
          <w:szCs w:val="24"/>
        </w:rPr>
        <w:t>履行反洗钱、</w:t>
      </w:r>
      <w:r w:rsidRPr="00B5057A">
        <w:rPr>
          <w:rFonts w:ascii="宋体" w:eastAsia="宋体" w:hAnsi="宋体" w:cs="Times New Roman" w:hint="eastAsia"/>
          <w:sz w:val="24"/>
          <w:szCs w:val="24"/>
        </w:rPr>
        <w:t>反恐怖融资、非居民金融账户涉税信息尽职调查、</w:t>
      </w:r>
      <w:r w:rsidRPr="00B5057A">
        <w:rPr>
          <w:rFonts w:ascii="宋体" w:eastAsia="宋体" w:hAnsi="宋体" w:cs="Times New Roman"/>
          <w:sz w:val="24"/>
          <w:szCs w:val="24"/>
        </w:rPr>
        <w:t>投资者资质审核和销售适当性等法律法规和监管要求的义务</w:t>
      </w:r>
      <w:r w:rsidRPr="00B5057A">
        <w:rPr>
          <w:rFonts w:ascii="宋体" w:eastAsia="宋体" w:hAnsi="宋体" w:cs="Times New Roman" w:hint="eastAsia"/>
          <w:sz w:val="24"/>
          <w:szCs w:val="24"/>
        </w:rPr>
        <w:t>的</w:t>
      </w:r>
      <w:r w:rsidRPr="00B5057A">
        <w:rPr>
          <w:rFonts w:ascii="宋体" w:eastAsia="宋体" w:hAnsi="宋体" w:cs="Times New Roman"/>
          <w:sz w:val="24"/>
          <w:szCs w:val="24"/>
        </w:rPr>
        <w:t>需要，</w:t>
      </w:r>
      <w:r w:rsidRPr="00B5057A">
        <w:rPr>
          <w:rFonts w:ascii="宋体" w:eastAsia="宋体" w:hAnsi="宋体" w:cs="Times New Roman" w:hint="eastAsia"/>
          <w:b/>
          <w:color w:val="000000"/>
          <w:sz w:val="24"/>
          <w:szCs w:val="24"/>
        </w:rPr>
        <w:t>宁银理财有权</w:t>
      </w:r>
      <w:r w:rsidRPr="00B5057A">
        <w:rPr>
          <w:rFonts w:ascii="宋体" w:eastAsia="宋体" w:hAnsi="宋体" w:cs="Times New Roman"/>
          <w:b/>
          <w:sz w:val="24"/>
          <w:szCs w:val="24"/>
        </w:rPr>
        <w:t>在业务办理或履行过程中</w:t>
      </w:r>
      <w:r w:rsidRPr="00B5057A">
        <w:rPr>
          <w:rFonts w:ascii="宋体" w:eastAsia="宋体" w:hAnsi="宋体" w:cs="Times New Roman" w:hint="eastAsia"/>
          <w:b/>
          <w:sz w:val="24"/>
          <w:szCs w:val="24"/>
        </w:rPr>
        <w:t>直接或通过代理销售机构间接获取并报送投资者身份信息、账户信息及其持有理财产品等信息；</w:t>
      </w:r>
      <w:r w:rsidRPr="00B5057A">
        <w:rPr>
          <w:rFonts w:ascii="宋体" w:eastAsia="宋体" w:hAnsi="宋体" w:cs="Times New Roman"/>
          <w:b/>
          <w:sz w:val="24"/>
          <w:szCs w:val="24"/>
        </w:rPr>
        <w:t>在</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办理本协议项下相关事项所必需的情形下，</w:t>
      </w:r>
      <w:r w:rsidRPr="00B5057A">
        <w:rPr>
          <w:rFonts w:ascii="宋体" w:eastAsia="宋体" w:hAnsi="宋体" w:cs="Times New Roman" w:hint="eastAsia"/>
          <w:b/>
          <w:sz w:val="24"/>
          <w:szCs w:val="24"/>
        </w:rPr>
        <w:t>授权宁银理财</w:t>
      </w:r>
      <w:r w:rsidRPr="00B5057A">
        <w:rPr>
          <w:rFonts w:ascii="宋体" w:eastAsia="宋体" w:hAnsi="宋体" w:cs="Times New Roman"/>
          <w:b/>
          <w:sz w:val="24"/>
          <w:szCs w:val="24"/>
        </w:rPr>
        <w:t>向</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集团成员、服务机构及其他</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认为必要的业务合作机构（包括但不限于代理销售机构）提供</w:t>
      </w:r>
      <w:r w:rsidRPr="00B5057A">
        <w:rPr>
          <w:rFonts w:ascii="宋体" w:eastAsia="宋体" w:hAnsi="宋体" w:cs="Times New Roman" w:hint="eastAsia"/>
          <w:b/>
          <w:color w:val="000000"/>
          <w:sz w:val="24"/>
          <w:szCs w:val="24"/>
        </w:rPr>
        <w:t>宁银理</w:t>
      </w:r>
      <w:r w:rsidRPr="00B5057A">
        <w:rPr>
          <w:rFonts w:ascii="宋体" w:eastAsia="宋体" w:hAnsi="宋体" w:cs="Times New Roman" w:hint="eastAsia"/>
          <w:b/>
          <w:color w:val="000000"/>
          <w:sz w:val="24"/>
          <w:szCs w:val="24"/>
        </w:rPr>
        <w:lastRenderedPageBreak/>
        <w:t>财</w:t>
      </w:r>
      <w:r w:rsidRPr="00B5057A">
        <w:rPr>
          <w:rFonts w:ascii="宋体" w:eastAsia="宋体" w:hAnsi="宋体" w:cs="Times New Roman"/>
          <w:b/>
          <w:sz w:val="24"/>
          <w:szCs w:val="24"/>
        </w:rPr>
        <w:t>获取的</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信息，范围包括但不限于</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的身份信息、账户信息等</w:t>
      </w:r>
      <w:r w:rsidR="00240C6A">
        <w:rPr>
          <w:rFonts w:ascii="宋体" w:eastAsia="宋体" w:hAnsi="宋体" w:cs="Times New Roman" w:hint="eastAsia"/>
          <w:b/>
          <w:sz w:val="24"/>
          <w:szCs w:val="24"/>
        </w:rPr>
        <w:t>，</w:t>
      </w:r>
      <w:r w:rsidR="00240C6A" w:rsidRPr="00240C6A">
        <w:rPr>
          <w:rFonts w:ascii="宋体" w:eastAsia="宋体" w:hAnsi="宋体" w:cs="Times New Roman" w:hint="eastAsia"/>
          <w:b/>
          <w:sz w:val="24"/>
          <w:szCs w:val="24"/>
        </w:rPr>
        <w:t>授权使用时限与提供前述服务及履行相关法律法规和监管要求义务的必要时限一致</w:t>
      </w:r>
      <w:r w:rsidRPr="00B5057A">
        <w:rPr>
          <w:rFonts w:ascii="宋体" w:eastAsia="宋体" w:hAnsi="宋体" w:cs="Times New Roman"/>
          <w:b/>
          <w:sz w:val="24"/>
          <w:szCs w:val="24"/>
        </w:rPr>
        <w:t>。接收信息的上述第三方将为处理本协议项下事务之目的接触并按照</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的业务需要使用</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承诺将向有关第三方明确其保护</w:t>
      </w:r>
      <w:r w:rsidRPr="00B5057A">
        <w:rPr>
          <w:rFonts w:ascii="宋体" w:eastAsia="宋体" w:hAnsi="宋体" w:cs="Times New Roman" w:hint="eastAsia"/>
          <w:sz w:val="24"/>
          <w:szCs w:val="24"/>
        </w:rPr>
        <w:t>投资者信息的职责并要求第三方承担相应保密义务。</w:t>
      </w:r>
      <w:r w:rsidR="00240C6A" w:rsidRPr="00240C6A">
        <w:rPr>
          <w:rFonts w:ascii="宋体" w:eastAsia="宋体" w:hAnsi="宋体" w:cs="Times New Roman" w:hint="eastAsia"/>
          <w:sz w:val="24"/>
          <w:szCs w:val="24"/>
        </w:rPr>
        <w:t>宁银理财将妥善保管投资者理财产品销售相关资料，保管年限不得低于法规规定的年限；超出必要保管期限后，宁银理财、销售机构及其他第三方合作机构（如有）将及时删除投资者的档案（包括以电子化形式以及纸质文本形式保管的投资者个人信息）。</w:t>
      </w:r>
    </w:p>
    <w:p w14:paraId="37D3290D" w14:textId="77777777" w:rsidR="005E3442" w:rsidRPr="00B5057A" w:rsidRDefault="005E3442" w:rsidP="005E3442">
      <w:pPr>
        <w:spacing w:line="312" w:lineRule="auto"/>
        <w:ind w:firstLineChars="200" w:firstLine="482"/>
        <w:outlineLvl w:val="0"/>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五、投诉及建议</w:t>
      </w:r>
    </w:p>
    <w:p w14:paraId="3ADAA952" w14:textId="77777777" w:rsidR="005E3442" w:rsidRPr="00B5057A" w:rsidRDefault="005E3442" w:rsidP="005E3442">
      <w:pPr>
        <w:spacing w:line="312" w:lineRule="auto"/>
        <w:ind w:firstLineChars="200" w:firstLine="482"/>
        <w:rPr>
          <w:rFonts w:ascii="宋体" w:eastAsia="宋体" w:hAnsi="宋体" w:cs="Times New Roman"/>
          <w:b/>
          <w:color w:val="000000"/>
          <w:sz w:val="24"/>
          <w:szCs w:val="24"/>
        </w:rPr>
      </w:pPr>
      <w:r w:rsidRPr="00B5057A">
        <w:rPr>
          <w:rFonts w:ascii="宋体" w:eastAsia="宋体" w:hAnsi="宋体" w:cs="Times New Roman" w:hint="eastAsia"/>
          <w:b/>
          <w:color w:val="000000"/>
          <w:sz w:val="24"/>
          <w:szCs w:val="24"/>
        </w:rPr>
        <w:t>若您对本理财产品有任何投诉或建议，请拨打宁银理财客服热线、拨打代理销售机构客服热线或反馈至代理销售机构营业网点，宁银理财或代理销售机构将对您所反映的情况和建议作及时的处理和反馈。</w:t>
      </w:r>
    </w:p>
    <w:p w14:paraId="719E8135"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六</w:t>
      </w:r>
      <w:r w:rsidRPr="00B5057A">
        <w:rPr>
          <w:rFonts w:ascii="宋体" w:eastAsia="宋体" w:hAnsi="宋体" w:cs="Times New Roman"/>
          <w:b/>
          <w:bCs/>
          <w:color w:val="000000"/>
          <w:sz w:val="24"/>
          <w:szCs w:val="24"/>
        </w:rPr>
        <w:t>、</w:t>
      </w:r>
      <w:r w:rsidRPr="00B5057A">
        <w:rPr>
          <w:rFonts w:ascii="宋体" w:eastAsia="宋体" w:hAnsi="宋体" w:cs="Times New Roman" w:hint="eastAsia"/>
          <w:b/>
          <w:bCs/>
          <w:color w:val="000000"/>
          <w:sz w:val="24"/>
          <w:szCs w:val="24"/>
        </w:rPr>
        <w:t>宁银理财</w:t>
      </w:r>
      <w:r w:rsidRPr="00B5057A">
        <w:rPr>
          <w:rFonts w:ascii="宋体" w:eastAsia="宋体" w:hAnsi="宋体" w:cs="Times New Roman"/>
          <w:b/>
          <w:bCs/>
          <w:color w:val="000000"/>
          <w:sz w:val="24"/>
          <w:szCs w:val="24"/>
        </w:rPr>
        <w:t>联络方式</w:t>
      </w:r>
    </w:p>
    <w:p w14:paraId="68CFC6F6" w14:textId="7947AD0D"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热线</w:t>
      </w:r>
      <w:r w:rsidRPr="00B5057A">
        <w:rPr>
          <w:rFonts w:ascii="宋体" w:eastAsia="宋体" w:hAnsi="宋体" w:cs="Times New Roman" w:hint="eastAsia"/>
          <w:color w:val="000000"/>
          <w:sz w:val="24"/>
          <w:szCs w:val="24"/>
        </w:rPr>
        <w:t>：</w:t>
      </w:r>
      <w:r w:rsidR="00EC4E10" w:rsidRPr="00EC4E10">
        <w:rPr>
          <w:rFonts w:ascii="宋体" w:eastAsia="宋体" w:hAnsi="宋体" w:cs="Times New Roman"/>
          <w:color w:val="000000"/>
          <w:sz w:val="24"/>
          <w:szCs w:val="24"/>
        </w:rPr>
        <w:t>400-099-5574</w:t>
      </w:r>
    </w:p>
    <w:p w14:paraId="0610BD30" w14:textId="77777777"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官方网站</w:t>
      </w:r>
      <w:r w:rsidRPr="00B5057A">
        <w:rPr>
          <w:rFonts w:ascii="宋体" w:eastAsia="宋体" w:hAnsi="宋体" w:cs="Times New Roman"/>
          <w:color w:val="000000"/>
          <w:sz w:val="24"/>
          <w:szCs w:val="24"/>
        </w:rPr>
        <w:t>：</w:t>
      </w:r>
      <w:r w:rsidRPr="00664FB8">
        <w:rPr>
          <w:rFonts w:ascii="宋体" w:eastAsia="宋体" w:hAnsi="宋体" w:cs="Times New Roman"/>
          <w:color w:val="000000"/>
          <w:sz w:val="24"/>
          <w:szCs w:val="24"/>
        </w:rPr>
        <w:t>www.wmbnb.com</w:t>
      </w:r>
    </w:p>
    <w:p w14:paraId="4B368A8B" w14:textId="77777777" w:rsidR="005E3442" w:rsidRPr="00B5057A" w:rsidRDefault="005E3442" w:rsidP="005E3442">
      <w:pPr>
        <w:spacing w:line="312" w:lineRule="auto"/>
        <w:ind w:firstLine="480"/>
        <w:rPr>
          <w:rFonts w:ascii="Times New Roman" w:eastAsia="宋体" w:hAnsi="Times New Roman" w:cs="Times New Roman"/>
          <w:b/>
          <w:bCs/>
          <w:sz w:val="24"/>
          <w:szCs w:val="24"/>
        </w:rPr>
      </w:pPr>
      <w:r w:rsidRPr="00B5057A">
        <w:rPr>
          <w:rFonts w:ascii="Times New Roman" w:eastAsia="宋体" w:hAnsi="Times New Roman" w:cs="Times New Roman" w:hint="eastAsia"/>
          <w:b/>
          <w:bCs/>
          <w:sz w:val="24"/>
          <w:szCs w:val="24"/>
        </w:rPr>
        <w:t>七、代理销售机构联络方式</w:t>
      </w:r>
    </w:p>
    <w:p w14:paraId="39BE75BB" w14:textId="77777777" w:rsidR="004D48CC" w:rsidRPr="005E3442" w:rsidRDefault="004D48CC" w:rsidP="004D48CC">
      <w:pPr>
        <w:ind w:firstLineChars="400" w:firstLine="960"/>
      </w:pPr>
      <w:r w:rsidRPr="009775EC">
        <w:rPr>
          <w:rFonts w:ascii="宋体" w:eastAsia="宋体" w:hAnsi="宋体" w:cs="Times New Roman" w:hint="eastAsia"/>
          <w:color w:val="000000"/>
          <w:sz w:val="24"/>
          <w:szCs w:val="24"/>
        </w:rPr>
        <w:t>代理销售机构联系方式详见《理财产品说明书》</w:t>
      </w:r>
    </w:p>
    <w:p w14:paraId="44F77975" w14:textId="3FE55DC0" w:rsidR="0010006E" w:rsidRPr="005E3442" w:rsidRDefault="0010006E" w:rsidP="003D7FAB"/>
    <w:sectPr w:rsidR="0010006E" w:rsidRP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2B280" w14:textId="77777777" w:rsidR="001E532E" w:rsidRDefault="001E532E" w:rsidP="006E4302">
      <w:r>
        <w:separator/>
      </w:r>
    </w:p>
  </w:endnote>
  <w:endnote w:type="continuationSeparator" w:id="0">
    <w:p w14:paraId="738D1A7C" w14:textId="77777777" w:rsidR="001E532E" w:rsidRDefault="001E532E"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96C0" w14:textId="77777777" w:rsidR="001E532E" w:rsidRDefault="001E532E" w:rsidP="006E4302">
      <w:r>
        <w:separator/>
      </w:r>
    </w:p>
  </w:footnote>
  <w:footnote w:type="continuationSeparator" w:id="0">
    <w:p w14:paraId="2E68348C" w14:textId="77777777" w:rsidR="001E532E" w:rsidRDefault="001E532E"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218A4"/>
    <w:rsid w:val="000328A4"/>
    <w:rsid w:val="00035E74"/>
    <w:rsid w:val="000A32F5"/>
    <w:rsid w:val="000A6518"/>
    <w:rsid w:val="000E6156"/>
    <w:rsid w:val="0010006E"/>
    <w:rsid w:val="00100099"/>
    <w:rsid w:val="00117971"/>
    <w:rsid w:val="00145058"/>
    <w:rsid w:val="001872F8"/>
    <w:rsid w:val="001E532E"/>
    <w:rsid w:val="0020364E"/>
    <w:rsid w:val="00240C6A"/>
    <w:rsid w:val="00290778"/>
    <w:rsid w:val="00291447"/>
    <w:rsid w:val="002B3FE1"/>
    <w:rsid w:val="002D5696"/>
    <w:rsid w:val="002D7F5D"/>
    <w:rsid w:val="002E3E1D"/>
    <w:rsid w:val="00326C07"/>
    <w:rsid w:val="00383E1B"/>
    <w:rsid w:val="0039177B"/>
    <w:rsid w:val="003D7FAB"/>
    <w:rsid w:val="003E609B"/>
    <w:rsid w:val="00410F2C"/>
    <w:rsid w:val="00423152"/>
    <w:rsid w:val="004727F7"/>
    <w:rsid w:val="00487D8F"/>
    <w:rsid w:val="004B4A2F"/>
    <w:rsid w:val="004C3D42"/>
    <w:rsid w:val="004C511E"/>
    <w:rsid w:val="004D48CC"/>
    <w:rsid w:val="00512AA1"/>
    <w:rsid w:val="005418A5"/>
    <w:rsid w:val="005648F0"/>
    <w:rsid w:val="00566B13"/>
    <w:rsid w:val="005965EB"/>
    <w:rsid w:val="005974DB"/>
    <w:rsid w:val="005C70E4"/>
    <w:rsid w:val="005E3442"/>
    <w:rsid w:val="005F108D"/>
    <w:rsid w:val="0060001A"/>
    <w:rsid w:val="006105EE"/>
    <w:rsid w:val="00625D97"/>
    <w:rsid w:val="00641060"/>
    <w:rsid w:val="00646C7B"/>
    <w:rsid w:val="00665599"/>
    <w:rsid w:val="0067025A"/>
    <w:rsid w:val="006733B7"/>
    <w:rsid w:val="00690993"/>
    <w:rsid w:val="006A4DE6"/>
    <w:rsid w:val="006B287F"/>
    <w:rsid w:val="006C1F60"/>
    <w:rsid w:val="006D1DAE"/>
    <w:rsid w:val="006E4302"/>
    <w:rsid w:val="006F2B69"/>
    <w:rsid w:val="006F7195"/>
    <w:rsid w:val="00744987"/>
    <w:rsid w:val="00766919"/>
    <w:rsid w:val="00773D49"/>
    <w:rsid w:val="007817BC"/>
    <w:rsid w:val="007B76E7"/>
    <w:rsid w:val="007D08E9"/>
    <w:rsid w:val="007F5A50"/>
    <w:rsid w:val="008008AA"/>
    <w:rsid w:val="0081302E"/>
    <w:rsid w:val="00877CD0"/>
    <w:rsid w:val="008A4C87"/>
    <w:rsid w:val="008A7964"/>
    <w:rsid w:val="008B6618"/>
    <w:rsid w:val="008F5D4C"/>
    <w:rsid w:val="00916420"/>
    <w:rsid w:val="00920279"/>
    <w:rsid w:val="009449AE"/>
    <w:rsid w:val="009451D9"/>
    <w:rsid w:val="0099160A"/>
    <w:rsid w:val="00994A39"/>
    <w:rsid w:val="009D0E32"/>
    <w:rsid w:val="00A31149"/>
    <w:rsid w:val="00AC414B"/>
    <w:rsid w:val="00AE4139"/>
    <w:rsid w:val="00AF25B4"/>
    <w:rsid w:val="00B11C55"/>
    <w:rsid w:val="00B244A4"/>
    <w:rsid w:val="00B65918"/>
    <w:rsid w:val="00B757FF"/>
    <w:rsid w:val="00B835DE"/>
    <w:rsid w:val="00B875E9"/>
    <w:rsid w:val="00BC3015"/>
    <w:rsid w:val="00BF5742"/>
    <w:rsid w:val="00C15B71"/>
    <w:rsid w:val="00C24545"/>
    <w:rsid w:val="00C57678"/>
    <w:rsid w:val="00C66647"/>
    <w:rsid w:val="00C969B1"/>
    <w:rsid w:val="00CA5A22"/>
    <w:rsid w:val="00CB2B4B"/>
    <w:rsid w:val="00CC5B18"/>
    <w:rsid w:val="00CE1E15"/>
    <w:rsid w:val="00D05FC2"/>
    <w:rsid w:val="00D1159C"/>
    <w:rsid w:val="00D177DE"/>
    <w:rsid w:val="00D65580"/>
    <w:rsid w:val="00D81A13"/>
    <w:rsid w:val="00D83A75"/>
    <w:rsid w:val="00DA78BF"/>
    <w:rsid w:val="00DB38FB"/>
    <w:rsid w:val="00DD2016"/>
    <w:rsid w:val="00DE5F1D"/>
    <w:rsid w:val="00E11B38"/>
    <w:rsid w:val="00E15F66"/>
    <w:rsid w:val="00E42A3B"/>
    <w:rsid w:val="00E6724C"/>
    <w:rsid w:val="00E67AAD"/>
    <w:rsid w:val="00E95040"/>
    <w:rsid w:val="00EA172B"/>
    <w:rsid w:val="00EC2CFC"/>
    <w:rsid w:val="00EC4E10"/>
    <w:rsid w:val="00ED578F"/>
    <w:rsid w:val="00EE6E85"/>
    <w:rsid w:val="00F66B5B"/>
    <w:rsid w:val="00F6701B"/>
    <w:rsid w:val="00FE1593"/>
    <w:rsid w:val="00FF30D4"/>
    <w:rsid w:val="00FF6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49</cp:revision>
  <dcterms:created xsi:type="dcterms:W3CDTF">2023-01-17T01:09:00Z</dcterms:created>
  <dcterms:modified xsi:type="dcterms:W3CDTF">2023-07-11T01:47:00Z</dcterms:modified>
</cp:coreProperties>
</file>